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1B2B58C6" w14:textId="77777777" w:rsidR="008A09EF" w:rsidRPr="00702CD9" w:rsidRDefault="00204556" w:rsidP="00DE0151">
      <w:pPr>
        <w:pStyle w:val="Textbody"/>
        <w:shd w:val="clear" w:color="auto" w:fill="E2EFD9" w:themeFill="accent6" w:themeFillTint="33"/>
        <w:tabs>
          <w:tab w:val="left" w:pos="800"/>
          <w:tab w:val="right" w:leader="dot" w:pos="9629"/>
        </w:tabs>
        <w:spacing w:line="360" w:lineRule="auto"/>
        <w:jc w:val="center"/>
        <w:rPr>
          <w:rFonts w:eastAsia="MS Mincho" w:cs="Times New Roman"/>
          <w:b/>
          <w:bCs/>
          <w:sz w:val="52"/>
          <w:lang w:eastAsia="ar-SA"/>
        </w:rPr>
      </w:pPr>
      <w:r w:rsidRPr="00702CD9">
        <w:rPr>
          <w:rFonts w:eastAsia="MS Mincho" w:cs="Times New Roman"/>
          <w:b/>
          <w:bCs/>
          <w:sz w:val="52"/>
          <w:lang w:eastAsia="ar-SA"/>
        </w:rPr>
        <w:t>ESTUDO TÉCNICO PRELIMINAR</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417F2701" w:rsidR="008A09EF" w:rsidRPr="00702CD9" w:rsidRDefault="00204556" w:rsidP="00DE0151">
      <w:pPr>
        <w:pStyle w:val="Textbody"/>
        <w:shd w:val="clear" w:color="auto" w:fill="E2EFD9" w:themeFill="accent6" w:themeFillTint="33"/>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nº </w:t>
      </w:r>
      <w:r w:rsidR="00A474D8">
        <w:rPr>
          <w:rFonts w:cs="Times New Roman"/>
          <w:b/>
          <w:color w:val="000000" w:themeColor="text1"/>
          <w:sz w:val="32"/>
          <w:szCs w:val="32"/>
        </w:rPr>
        <w:t>38</w:t>
      </w:r>
      <w:r w:rsidR="00702CD9" w:rsidRPr="00702CD9">
        <w:rPr>
          <w:rFonts w:cs="Times New Roman"/>
          <w:b/>
          <w:color w:val="000000" w:themeColor="text1"/>
          <w:sz w:val="32"/>
          <w:szCs w:val="32"/>
        </w:rPr>
        <w:t>/2025</w:t>
      </w:r>
    </w:p>
    <w:p w14:paraId="16E62AF5" w14:textId="77777777" w:rsidR="008A09EF" w:rsidRPr="00702CD9" w:rsidRDefault="008A09EF">
      <w:pPr>
        <w:pStyle w:val="Textbody"/>
        <w:spacing w:after="0"/>
        <w:jc w:val="center"/>
        <w:rPr>
          <w:rFonts w:cs="Times New Roman"/>
        </w:rPr>
      </w:pPr>
    </w:p>
    <w:p w14:paraId="170AA703" w14:textId="77777777" w:rsidR="008A09EF" w:rsidRPr="00702CD9" w:rsidRDefault="008A09EF">
      <w:pPr>
        <w:pStyle w:val="Textbody"/>
        <w:spacing w:after="0"/>
        <w:jc w:val="center"/>
        <w:rPr>
          <w:rFonts w:cs="Times New Roman"/>
        </w:rPr>
      </w:pPr>
    </w:p>
    <w:p w14:paraId="0EB5E5CD" w14:textId="77777777" w:rsidR="008A09EF" w:rsidRPr="00702CD9" w:rsidRDefault="008A09EF">
      <w:pPr>
        <w:pStyle w:val="Textbody"/>
        <w:spacing w:after="0"/>
        <w:jc w:val="center"/>
        <w:rPr>
          <w:rFonts w:cs="Times New Roman"/>
        </w:rPr>
      </w:pPr>
    </w:p>
    <w:p w14:paraId="733D966D" w14:textId="77777777" w:rsidR="008A09EF" w:rsidRPr="00702CD9" w:rsidRDefault="008A09EF">
      <w:pPr>
        <w:pStyle w:val="Textbody"/>
        <w:spacing w:after="0"/>
        <w:jc w:val="center"/>
        <w:rPr>
          <w:rFonts w:cs="Times New Roman"/>
        </w:rPr>
      </w:pPr>
    </w:p>
    <w:p w14:paraId="1CC0D334" w14:textId="77777777" w:rsidR="008A09EF" w:rsidRPr="001B2A7B" w:rsidRDefault="008A09EF" w:rsidP="001B2A7B">
      <w:pPr>
        <w:pStyle w:val="Textbody"/>
        <w:spacing w:after="0"/>
        <w:jc w:val="center"/>
        <w:rPr>
          <w:rFonts w:cs="Times New Roman"/>
          <w:sz w:val="30"/>
          <w:szCs w:val="30"/>
        </w:rPr>
      </w:pPr>
    </w:p>
    <w:p w14:paraId="302E3C9B" w14:textId="5311AA27" w:rsidR="00801D41" w:rsidRPr="00801D41" w:rsidRDefault="00A474D8" w:rsidP="00A474D8">
      <w:pPr>
        <w:jc w:val="both"/>
        <w:rPr>
          <w:b/>
          <w:color w:val="000000"/>
          <w:sz w:val="40"/>
          <w:szCs w:val="40"/>
          <w:lang w:eastAsia="pt-BR"/>
        </w:rPr>
      </w:pPr>
      <w:r w:rsidRPr="00A474D8">
        <w:rPr>
          <w:b/>
          <w:bCs/>
          <w:color w:val="000000"/>
          <w:sz w:val="40"/>
          <w:szCs w:val="40"/>
          <w:lang w:eastAsia="pt-BR"/>
        </w:rPr>
        <w:t>CREDENCIAMENTO de empresas para prestação de serviço especializado de fornecimento e administração de cartão-alimentação, na forma de cartão magnético/eletrônicos, personalizado e com senha individual, para os servidores da Prefeitura Municipal de Inúbia Paulista, para aquisição de gêneros alimentícios, em estabelecimentos comerciais credenciados, nos termos do art. 79, inciso II, da Lei 14.133/2021, e demais legislações aplicáveis.</w:t>
      </w:r>
    </w:p>
    <w:p w14:paraId="5D2F55E8" w14:textId="77777777" w:rsidR="008A09EF" w:rsidRPr="00702CD9" w:rsidRDefault="008A09EF">
      <w:pPr>
        <w:pStyle w:val="Textbody"/>
        <w:spacing w:after="0"/>
        <w:rPr>
          <w:rFonts w:cs="Times New Roman"/>
        </w:rPr>
      </w:pPr>
    </w:p>
    <w:p w14:paraId="7BFF88EF" w14:textId="77777777" w:rsidR="008A09EF" w:rsidRPr="00702CD9" w:rsidRDefault="008A09EF">
      <w:pPr>
        <w:pStyle w:val="Textbody"/>
        <w:spacing w:after="0"/>
        <w:rPr>
          <w:rFonts w:cs="Times New Roman"/>
        </w:rPr>
      </w:pPr>
    </w:p>
    <w:p w14:paraId="153528FF" w14:textId="77777777" w:rsidR="008A09EF" w:rsidRPr="00702CD9" w:rsidRDefault="008A09EF">
      <w:pPr>
        <w:pStyle w:val="Textbody"/>
        <w:spacing w:after="0"/>
        <w:rPr>
          <w:rFonts w:cs="Times New Roman"/>
        </w:rPr>
      </w:pPr>
    </w:p>
    <w:p w14:paraId="33726EF7" w14:textId="77777777" w:rsidR="008A09EF" w:rsidRPr="00702CD9" w:rsidRDefault="008A09EF">
      <w:pPr>
        <w:pStyle w:val="Textbody"/>
        <w:spacing w:after="0"/>
        <w:rPr>
          <w:rFonts w:cs="Times New Roman"/>
        </w:rPr>
      </w:pPr>
    </w:p>
    <w:p w14:paraId="1FF1F5A7" w14:textId="77777777" w:rsidR="008A09EF" w:rsidRPr="00702CD9" w:rsidRDefault="008A09EF">
      <w:pPr>
        <w:pStyle w:val="Textbody"/>
        <w:spacing w:after="0"/>
        <w:rPr>
          <w:rFonts w:cs="Times New Roman"/>
        </w:rPr>
      </w:pPr>
    </w:p>
    <w:p w14:paraId="2069CDE1" w14:textId="77777777" w:rsidR="008A09EF" w:rsidRPr="00702CD9" w:rsidRDefault="008A09EF">
      <w:pPr>
        <w:pStyle w:val="Textbody"/>
        <w:spacing w:after="0"/>
        <w:rPr>
          <w:rFonts w:cs="Times New Roman"/>
        </w:rPr>
      </w:pPr>
    </w:p>
    <w:p w14:paraId="160BEBC9" w14:textId="77777777" w:rsidR="008A09EF" w:rsidRPr="00702CD9" w:rsidRDefault="008A09EF">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67592F8D" w:rsidR="008A09EF" w:rsidRPr="00C00044" w:rsidRDefault="00702CD9">
      <w:pPr>
        <w:pStyle w:val="Textbody"/>
        <w:spacing w:before="120" w:after="200"/>
        <w:jc w:val="center"/>
        <w:rPr>
          <w:rFonts w:cs="Times New Roman"/>
        </w:rPr>
      </w:pPr>
      <w:r w:rsidRPr="00C00044">
        <w:rPr>
          <w:rFonts w:cs="Times New Roman"/>
        </w:rPr>
        <w:t>Inúbia Paulista,</w:t>
      </w:r>
      <w:r w:rsidR="00204556" w:rsidRPr="00C00044">
        <w:rPr>
          <w:rFonts w:cs="Times New Roman"/>
        </w:rPr>
        <w:t xml:space="preserve"> </w:t>
      </w:r>
      <w:r w:rsidR="00DE0151">
        <w:rPr>
          <w:rFonts w:cs="Times New Roman"/>
        </w:rPr>
        <w:t>01</w:t>
      </w:r>
      <w:r w:rsidR="001B2A7B" w:rsidRPr="00C00044">
        <w:rPr>
          <w:rFonts w:cs="Times New Roman"/>
        </w:rPr>
        <w:t xml:space="preserve"> de </w:t>
      </w:r>
      <w:r w:rsidR="00DE0151">
        <w:rPr>
          <w:rFonts w:cs="Times New Roman"/>
        </w:rPr>
        <w:t>abril</w:t>
      </w:r>
      <w:r w:rsidR="00204556" w:rsidRPr="00C00044">
        <w:rPr>
          <w:rFonts w:cs="Times New Roman"/>
        </w:rPr>
        <w:t xml:space="preserve"> de </w:t>
      </w:r>
      <w:r w:rsidRPr="00C00044">
        <w:rPr>
          <w:rFonts w:cs="Times New Roman"/>
        </w:rPr>
        <w:t>2025</w:t>
      </w:r>
    </w:p>
    <w:p w14:paraId="16A834BB" w14:textId="77777777" w:rsidR="008A09EF" w:rsidRPr="00702CD9"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702CD9">
        <w:rPr>
          <w:rFonts w:eastAsia="Times New Roman" w:cs="Times New Roman"/>
          <w:b/>
          <w:bCs/>
        </w:rPr>
        <w:lastRenderedPageBreak/>
        <w:t>ESTUDO TÉCNICO PRELIMINAR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tbl>
      <w:tblPr>
        <w:tblW w:w="8790" w:type="dxa"/>
        <w:tblLayout w:type="fixed"/>
        <w:tblCellMar>
          <w:left w:w="10" w:type="dxa"/>
          <w:right w:w="10" w:type="dxa"/>
        </w:tblCellMar>
        <w:tblLook w:val="04A0" w:firstRow="1" w:lastRow="0" w:firstColumn="1" w:lastColumn="0" w:noHBand="0" w:noVBand="1"/>
      </w:tblPr>
      <w:tblGrid>
        <w:gridCol w:w="8790"/>
      </w:tblGrid>
      <w:tr w:rsidR="00615238" w:rsidRPr="00702CD9" w14:paraId="2BD9EE63" w14:textId="77777777" w:rsidTr="00F55694">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0CA4C32" w14:textId="595B779D" w:rsidR="00615238" w:rsidRPr="00CC01A5" w:rsidRDefault="00615238" w:rsidP="00CC01A5">
            <w:p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CC01A5">
              <w:rPr>
                <w:rFonts w:eastAsia="Calibri" w:cs="Times New Roman"/>
                <w:b/>
                <w:shd w:val="clear" w:color="auto" w:fill="C0C0C0"/>
              </w:rPr>
              <w:t>INTRODUÇÃO</w:t>
            </w:r>
          </w:p>
        </w:tc>
      </w:tr>
    </w:tbl>
    <w:p w14:paraId="61FC7CE1" w14:textId="77777777" w:rsidR="00615238" w:rsidRDefault="00615238">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5FA8B3BD" w14:textId="77777777" w:rsidR="00615238" w:rsidRPr="00615238" w:rsidRDefault="00615238" w:rsidP="00CC01A5">
      <w:pPr>
        <w:pStyle w:val="Standard"/>
        <w:jc w:val="center"/>
        <w:rPr>
          <w:rFonts w:eastAsia="Times New Roman" w:cs="Times New Roman"/>
        </w:rPr>
      </w:pPr>
      <w:r w:rsidRPr="00615238">
        <w:rPr>
          <w:rFonts w:eastAsia="Times New Roman" w:cs="Times New Roman"/>
        </w:rPr>
        <w:t>O presente documento caracteriza a primeira etapa da fase de planejamento e apresenta os devidos estudos para a contratação de solução que atenderá à necessidade abaixo especificada.</w:t>
      </w:r>
    </w:p>
    <w:p w14:paraId="0D542128" w14:textId="77777777" w:rsidR="00615238" w:rsidRPr="00615238" w:rsidRDefault="00615238" w:rsidP="00CC01A5">
      <w:pPr>
        <w:pStyle w:val="Standard"/>
        <w:jc w:val="center"/>
        <w:rPr>
          <w:rFonts w:eastAsia="Times New Roman" w:cs="Times New Roman"/>
        </w:rPr>
      </w:pPr>
    </w:p>
    <w:p w14:paraId="66043DD6" w14:textId="585699B9" w:rsidR="00615238" w:rsidRPr="00615238" w:rsidRDefault="00615238" w:rsidP="00CC01A5">
      <w:pPr>
        <w:pStyle w:val="Standard"/>
        <w:jc w:val="center"/>
        <w:rPr>
          <w:rFonts w:eastAsia="Times New Roman" w:cs="Times New Roman"/>
        </w:rPr>
      </w:pPr>
      <w:r w:rsidRPr="00615238">
        <w:rPr>
          <w:rFonts w:eastAsia="Times New Roman" w:cs="Times New Roman"/>
        </w:rPr>
        <w:t>O objetivo principal é estudar detalhadamente a necessidade e identificar no mercado a melhor solução para supri-la, em observância às normas vigentes e aos princípios que regem a Administração Pública.</w:t>
      </w: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53473104" w:rsidR="008A09EF" w:rsidRPr="00702CD9" w:rsidRDefault="00702CD9" w:rsidP="002F3FE6">
      <w:pPr>
        <w:jc w:val="both"/>
        <w:rPr>
          <w:rFonts w:cs="Times New Roman"/>
          <w:b/>
          <w:bCs/>
          <w:color w:val="000000" w:themeColor="text1"/>
          <w:lang w:eastAsia="zh-CN"/>
        </w:rPr>
      </w:pPr>
      <w:r w:rsidRPr="00702CD9">
        <w:rPr>
          <w:rFonts w:cs="Times New Roman"/>
          <w:b/>
          <w:bCs/>
          <w:color w:val="000000" w:themeColor="text1"/>
          <w:lang w:eastAsia="zh-CN"/>
        </w:rPr>
        <w:t>P</w:t>
      </w:r>
      <w:r w:rsidR="00C43D7E">
        <w:rPr>
          <w:rFonts w:cs="Times New Roman"/>
          <w:b/>
          <w:bCs/>
          <w:color w:val="000000" w:themeColor="text1"/>
          <w:lang w:eastAsia="zh-CN"/>
        </w:rPr>
        <w:t>RO</w:t>
      </w:r>
      <w:r w:rsidRPr="00702CD9">
        <w:rPr>
          <w:rFonts w:cs="Times New Roman"/>
          <w:b/>
          <w:bCs/>
          <w:color w:val="000000" w:themeColor="text1"/>
          <w:lang w:eastAsia="zh-CN"/>
        </w:rPr>
        <w:t xml:space="preserve">CESSO ADMINISTRATIVO Nº </w:t>
      </w:r>
      <w:r w:rsidR="00801D41">
        <w:rPr>
          <w:rFonts w:cs="Times New Roman"/>
          <w:b/>
          <w:bCs/>
          <w:color w:val="000000" w:themeColor="text1"/>
          <w:lang w:eastAsia="zh-CN"/>
        </w:rPr>
        <w:t>3</w:t>
      </w:r>
      <w:r w:rsidR="00A474D8">
        <w:rPr>
          <w:rFonts w:cs="Times New Roman"/>
          <w:b/>
          <w:bCs/>
          <w:color w:val="000000" w:themeColor="text1"/>
          <w:lang w:eastAsia="zh-CN"/>
        </w:rPr>
        <w:t>8</w:t>
      </w:r>
      <w:r w:rsidRPr="00702CD9">
        <w:rPr>
          <w:rFonts w:cs="Times New Roman"/>
          <w:b/>
          <w:bCs/>
          <w:color w:val="000000" w:themeColor="text1"/>
          <w:lang w:eastAsia="zh-CN"/>
        </w:rPr>
        <w:t>/2025</w:t>
      </w:r>
    </w:p>
    <w:p w14:paraId="762E333C" w14:textId="3AB6ED2D" w:rsidR="00801D41" w:rsidRPr="00801D41" w:rsidRDefault="00702CD9" w:rsidP="00801D41">
      <w:pPr>
        <w:jc w:val="both"/>
        <w:rPr>
          <w:b/>
          <w:color w:val="000000"/>
          <w:lang w:eastAsia="pt-BR"/>
        </w:rPr>
      </w:pPr>
      <w:r w:rsidRPr="00702CD9">
        <w:rPr>
          <w:rFonts w:cs="Times New Roman"/>
          <w:b/>
          <w:bCs/>
          <w:color w:val="000000" w:themeColor="text1"/>
          <w:lang w:eastAsia="zh-CN"/>
        </w:rPr>
        <w:t>OBJETO</w:t>
      </w:r>
      <w:r w:rsidR="00A474D8" w:rsidRPr="00702CD9">
        <w:rPr>
          <w:rFonts w:cs="Times New Roman"/>
          <w:b/>
          <w:bCs/>
          <w:color w:val="000000" w:themeColor="text1"/>
          <w:lang w:eastAsia="zh-CN"/>
        </w:rPr>
        <w:t>:</w:t>
      </w:r>
      <w:r w:rsidR="00A474D8">
        <w:rPr>
          <w:rFonts w:cs="Times New Roman"/>
          <w:color w:val="000000" w:themeColor="text1"/>
          <w:lang w:eastAsia="zh-CN"/>
        </w:rPr>
        <w:t xml:space="preserve"> </w:t>
      </w:r>
      <w:r w:rsidR="00A474D8" w:rsidRPr="00702CD9">
        <w:rPr>
          <w:rFonts w:cs="Times New Roman"/>
          <w:color w:val="000000" w:themeColor="text1"/>
          <w:lang w:eastAsia="zh-CN"/>
        </w:rPr>
        <w:t>“</w:t>
      </w:r>
      <w:r w:rsidR="00A474D8" w:rsidRPr="00A474D8">
        <w:rPr>
          <w:b/>
          <w:bCs/>
          <w:color w:val="000000"/>
          <w:lang w:eastAsia="pt-BR"/>
        </w:rPr>
        <w:t>CREDENCIAMENTO de empresas para prestação de serviço especializado de fornecimento e administração de cartão-alimentação, na forma de cartão magnético/eletrônicos, personalizado e com senha individual, para os servidores da Prefeitura Municipal de Inúbia Paulista, para aquisição de gêneros alimentícios, em estabelecimentos comerciais credenciados, nos termos do art. 79, inciso II, da Lei 14.133/2021, e demais legislações aplicáveis.</w:t>
      </w:r>
      <w:r w:rsidR="00801D41">
        <w:rPr>
          <w:b/>
          <w:color w:val="000000"/>
          <w:lang w:eastAsia="pt-BR"/>
        </w:rPr>
        <w:t>”</w:t>
      </w:r>
    </w:p>
    <w:p w14:paraId="52471453" w14:textId="79041C0E" w:rsidR="008A09EF" w:rsidRDefault="008A09EF" w:rsidP="002F3FE6">
      <w:pPr>
        <w:jc w:val="both"/>
        <w:rPr>
          <w:rFonts w:cs="Times New Roman"/>
          <w:color w:val="000000" w:themeColor="text1"/>
          <w:lang w:eastAsia="zh-CN"/>
        </w:rPr>
      </w:pP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2924107" w14:textId="77777777" w:rsidR="008F294E" w:rsidRDefault="00204556"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702CD9">
              <w:rPr>
                <w:rFonts w:cs="Times New Roman"/>
                <w:b/>
                <w:bCs/>
              </w:rPr>
              <w:t>DESCRIÇÃO DA NECESSIDADE</w:t>
            </w:r>
          </w:p>
          <w:p w14:paraId="0BE38B73" w14:textId="35AE2A3A"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00CC01A5" w:rsidRPr="00CC01A5">
              <w:rPr>
                <w:rFonts w:eastAsia="Times New Roman" w:cs="Times New Roman"/>
                <w:color w:val="000000"/>
                <w:szCs w:val="24"/>
              </w:rPr>
              <w:t xml:space="preserve"> </w:t>
            </w:r>
            <w:r w:rsidR="00CC01A5" w:rsidRPr="00CC01A5">
              <w:rPr>
                <w:rFonts w:cs="Times New Roman"/>
                <w:b/>
                <w:bCs/>
              </w:rPr>
              <w:t>(inciso I do § 1° do art. 18 da Lei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7EDF073E" w14:textId="77777777" w:rsidR="009B08A4" w:rsidRDefault="00893671" w:rsidP="00801D41">
            <w:pPr>
              <w:pStyle w:val="Cabealho"/>
              <w:jc w:val="both"/>
              <w:rPr>
                <w:rFonts w:cs="Times New Roman"/>
              </w:rPr>
            </w:pPr>
            <w:r w:rsidRPr="00801D41">
              <w:rPr>
                <w:rFonts w:cs="Times New Roman"/>
              </w:rPr>
              <w:t xml:space="preserve">     </w:t>
            </w:r>
          </w:p>
          <w:p w14:paraId="405F9F6B" w14:textId="77777777" w:rsidR="009B08A4" w:rsidRDefault="009B08A4" w:rsidP="00801D41">
            <w:pPr>
              <w:pStyle w:val="Cabealho"/>
              <w:jc w:val="both"/>
            </w:pPr>
          </w:p>
          <w:p w14:paraId="462DA644" w14:textId="59F2DB48" w:rsidR="008A09EF" w:rsidRDefault="009B08A4" w:rsidP="00A474D8">
            <w:pPr>
              <w:pStyle w:val="Cabealho"/>
              <w:jc w:val="both"/>
            </w:pPr>
            <w:r>
              <w:t xml:space="preserve">                         </w:t>
            </w:r>
            <w:r w:rsidR="00A474D8" w:rsidRPr="00A474D8">
              <w:t>A contratação de vale-alimentação para a Prefeitura Municipal se justifica por uma série de fatores que visam o bem-estar dos servidores, a otimização da gestão pública e o cumprimento de obrigações legais. Abaixo, detalho os principais pontos:</w:t>
            </w:r>
          </w:p>
          <w:p w14:paraId="24E2DC41" w14:textId="77777777" w:rsidR="00A474D8" w:rsidRDefault="00A474D8" w:rsidP="00A474D8">
            <w:pPr>
              <w:pStyle w:val="Cabealho"/>
              <w:jc w:val="both"/>
            </w:pPr>
          </w:p>
          <w:p w14:paraId="0B62D083" w14:textId="77777777" w:rsidR="00A474D8" w:rsidRPr="00A474D8" w:rsidRDefault="00A474D8" w:rsidP="00A474D8">
            <w:pPr>
              <w:pStyle w:val="Cabealho"/>
              <w:numPr>
                <w:ilvl w:val="0"/>
                <w:numId w:val="27"/>
              </w:numPr>
              <w:jc w:val="both"/>
            </w:pPr>
            <w:r w:rsidRPr="00A474D8">
              <w:rPr>
                <w:b/>
                <w:bCs/>
              </w:rPr>
              <w:t>Qualidade de Vida:</w:t>
            </w:r>
            <w:r w:rsidRPr="00A474D8">
              <w:t xml:space="preserve"> </w:t>
            </w:r>
          </w:p>
          <w:p w14:paraId="68E5FBB1" w14:textId="77777777" w:rsidR="00A474D8" w:rsidRPr="00A474D8" w:rsidRDefault="00A474D8" w:rsidP="00A474D8">
            <w:pPr>
              <w:pStyle w:val="Cabealho"/>
              <w:numPr>
                <w:ilvl w:val="1"/>
                <w:numId w:val="27"/>
              </w:numPr>
              <w:jc w:val="both"/>
            </w:pPr>
            <w:r w:rsidRPr="00A474D8">
              <w:t>O vale-alimentação contribui para a segurança alimentar dos servidores e suas famílias, permitindo o acesso a alimentos de qualidade.</w:t>
            </w:r>
          </w:p>
          <w:p w14:paraId="59F5A7CA" w14:textId="77777777" w:rsidR="00A474D8" w:rsidRDefault="00A474D8" w:rsidP="00A474D8">
            <w:pPr>
              <w:pStyle w:val="Cabealho"/>
              <w:numPr>
                <w:ilvl w:val="1"/>
                <w:numId w:val="27"/>
              </w:numPr>
              <w:jc w:val="both"/>
            </w:pPr>
            <w:r w:rsidRPr="00A474D8">
              <w:t>Ao garantir uma alimentação adequada, o benefício melhora a saúde e o bem-estar dos servidores, refletindo em maior disposição e produtividade no trabalho.</w:t>
            </w:r>
          </w:p>
          <w:p w14:paraId="62171885" w14:textId="77777777" w:rsidR="00A474D8" w:rsidRDefault="00A474D8" w:rsidP="00A474D8">
            <w:pPr>
              <w:pStyle w:val="Cabealho"/>
              <w:jc w:val="both"/>
            </w:pPr>
          </w:p>
          <w:p w14:paraId="4EAD375F" w14:textId="77777777" w:rsidR="00A474D8" w:rsidRPr="00A474D8" w:rsidRDefault="00A474D8" w:rsidP="00A474D8">
            <w:pPr>
              <w:pStyle w:val="Cabealho"/>
              <w:jc w:val="both"/>
            </w:pPr>
          </w:p>
          <w:p w14:paraId="4032DF34" w14:textId="77777777" w:rsidR="00A474D8" w:rsidRPr="00A474D8" w:rsidRDefault="00A474D8" w:rsidP="00A474D8">
            <w:pPr>
              <w:pStyle w:val="Cabealho"/>
              <w:numPr>
                <w:ilvl w:val="0"/>
                <w:numId w:val="27"/>
              </w:numPr>
              <w:jc w:val="both"/>
            </w:pPr>
            <w:r w:rsidRPr="00A474D8">
              <w:rPr>
                <w:b/>
                <w:bCs/>
              </w:rPr>
              <w:lastRenderedPageBreak/>
              <w:t>Valorização Profissional:</w:t>
            </w:r>
            <w:r w:rsidRPr="00A474D8">
              <w:t xml:space="preserve"> </w:t>
            </w:r>
          </w:p>
          <w:p w14:paraId="7AA99A2A" w14:textId="77777777" w:rsidR="00A474D8" w:rsidRPr="00A474D8" w:rsidRDefault="00A474D8" w:rsidP="00A474D8">
            <w:pPr>
              <w:pStyle w:val="Cabealho"/>
              <w:numPr>
                <w:ilvl w:val="1"/>
                <w:numId w:val="27"/>
              </w:numPr>
              <w:jc w:val="both"/>
            </w:pPr>
            <w:r w:rsidRPr="00A474D8">
              <w:t>A concessão do vale-alimentação demonstra o reconhecimento e a valorização dos servidores pela gestão municipal.</w:t>
            </w:r>
          </w:p>
          <w:p w14:paraId="578C3A03" w14:textId="77777777" w:rsidR="00A474D8" w:rsidRDefault="00A474D8" w:rsidP="00A474D8">
            <w:pPr>
              <w:pStyle w:val="Cabealho"/>
              <w:numPr>
                <w:ilvl w:val="1"/>
                <w:numId w:val="27"/>
              </w:numPr>
              <w:jc w:val="both"/>
            </w:pPr>
            <w:r w:rsidRPr="00A474D8">
              <w:t>Esse benefício pode aumentar a satisfação e o engajamento dos servidores, reduzindo a rotatividade e atraindo profissionais qualificados.</w:t>
            </w:r>
          </w:p>
          <w:p w14:paraId="2BE72350" w14:textId="77777777" w:rsidR="00A474D8" w:rsidRDefault="00A474D8" w:rsidP="00A474D8">
            <w:pPr>
              <w:pStyle w:val="Cabealho"/>
              <w:jc w:val="both"/>
            </w:pPr>
          </w:p>
          <w:p w14:paraId="5D562812" w14:textId="77777777" w:rsidR="00A474D8" w:rsidRPr="00A474D8" w:rsidRDefault="00A474D8" w:rsidP="00A474D8">
            <w:pPr>
              <w:pStyle w:val="Cabealho"/>
              <w:jc w:val="both"/>
            </w:pPr>
          </w:p>
          <w:p w14:paraId="399A6F90" w14:textId="77777777" w:rsidR="00A474D8" w:rsidRPr="00A474D8" w:rsidRDefault="00A474D8" w:rsidP="00A474D8">
            <w:pPr>
              <w:pStyle w:val="Cabealho"/>
              <w:numPr>
                <w:ilvl w:val="0"/>
                <w:numId w:val="27"/>
              </w:numPr>
              <w:jc w:val="both"/>
            </w:pPr>
            <w:r w:rsidRPr="00A474D8">
              <w:rPr>
                <w:b/>
                <w:bCs/>
              </w:rPr>
              <w:t>Flexibilidade e Autonomia:</w:t>
            </w:r>
            <w:r w:rsidRPr="00A474D8">
              <w:t xml:space="preserve"> </w:t>
            </w:r>
          </w:p>
          <w:p w14:paraId="74B6C56B" w14:textId="77777777" w:rsidR="00A474D8" w:rsidRPr="00A474D8" w:rsidRDefault="00A474D8" w:rsidP="00A474D8">
            <w:pPr>
              <w:pStyle w:val="Cabealho"/>
              <w:numPr>
                <w:ilvl w:val="1"/>
                <w:numId w:val="27"/>
              </w:numPr>
              <w:jc w:val="both"/>
            </w:pPr>
            <w:r w:rsidRPr="00A474D8">
              <w:t>O vale-alimentação oferece aos servidores a liberdade de escolher onde e como utilizar o benefício, de acordo com suas necessidades e preferências.</w:t>
            </w:r>
          </w:p>
          <w:p w14:paraId="22C09F78" w14:textId="77777777" w:rsidR="00A474D8" w:rsidRDefault="00A474D8" w:rsidP="00A474D8">
            <w:pPr>
              <w:pStyle w:val="Cabealho"/>
              <w:numPr>
                <w:ilvl w:val="1"/>
                <w:numId w:val="27"/>
              </w:numPr>
              <w:jc w:val="both"/>
            </w:pPr>
            <w:r w:rsidRPr="00A474D8">
              <w:t>Essa flexibilidade contribui para a autonomia e o bem-estar dos servidores, que podem gerenciar seus recursos de forma mais eficiente.</w:t>
            </w:r>
          </w:p>
          <w:p w14:paraId="7DECB9EB" w14:textId="77777777" w:rsidR="00A474D8" w:rsidRPr="00A474D8" w:rsidRDefault="00A474D8" w:rsidP="00A474D8">
            <w:pPr>
              <w:pStyle w:val="Cabealho"/>
              <w:jc w:val="both"/>
            </w:pPr>
          </w:p>
          <w:p w14:paraId="52B29356" w14:textId="77777777" w:rsidR="00A474D8" w:rsidRPr="00A474D8" w:rsidRDefault="00A474D8" w:rsidP="00A474D8">
            <w:pPr>
              <w:pStyle w:val="Cabealho"/>
              <w:jc w:val="both"/>
            </w:pPr>
            <w:r w:rsidRPr="00A474D8">
              <w:rPr>
                <w:b/>
                <w:bCs/>
              </w:rPr>
              <w:t>2. Otimização da Gestão Pública:</w:t>
            </w:r>
          </w:p>
          <w:p w14:paraId="27CB34CB" w14:textId="77777777" w:rsidR="00A474D8" w:rsidRPr="00A474D8" w:rsidRDefault="00A474D8" w:rsidP="00A474D8">
            <w:pPr>
              <w:pStyle w:val="Cabealho"/>
              <w:numPr>
                <w:ilvl w:val="0"/>
                <w:numId w:val="28"/>
              </w:numPr>
              <w:jc w:val="both"/>
            </w:pPr>
            <w:r w:rsidRPr="00A474D8">
              <w:rPr>
                <w:b/>
                <w:bCs/>
              </w:rPr>
              <w:t>Redução do Absenteísmo:</w:t>
            </w:r>
            <w:r w:rsidRPr="00A474D8">
              <w:t xml:space="preserve"> </w:t>
            </w:r>
          </w:p>
          <w:p w14:paraId="39B50E76" w14:textId="77777777" w:rsidR="00A474D8" w:rsidRPr="00A474D8" w:rsidRDefault="00A474D8" w:rsidP="00A474D8">
            <w:pPr>
              <w:pStyle w:val="Cabealho"/>
              <w:numPr>
                <w:ilvl w:val="1"/>
                <w:numId w:val="28"/>
              </w:numPr>
              <w:jc w:val="both"/>
            </w:pPr>
            <w:r w:rsidRPr="00A474D8">
              <w:t>Ao garantir uma alimentação adequada, o vale-alimentação pode reduzir o absenteísmo causado por problemas de saúde relacionados à má nutrição.</w:t>
            </w:r>
          </w:p>
          <w:p w14:paraId="71F89FFA" w14:textId="77777777" w:rsidR="00A474D8" w:rsidRDefault="00A474D8" w:rsidP="00A474D8">
            <w:pPr>
              <w:pStyle w:val="Cabealho"/>
              <w:numPr>
                <w:ilvl w:val="1"/>
                <w:numId w:val="28"/>
              </w:numPr>
              <w:jc w:val="both"/>
            </w:pPr>
            <w:r w:rsidRPr="00A474D8">
              <w:t>A diminuição do absenteísmo contribui para a continuidade dos serviços públicos e a otimização da força de trabalho.</w:t>
            </w:r>
          </w:p>
          <w:p w14:paraId="4FCA038F" w14:textId="77777777" w:rsidR="00A474D8" w:rsidRPr="00A474D8" w:rsidRDefault="00A474D8" w:rsidP="00A474D8">
            <w:pPr>
              <w:pStyle w:val="Cabealho"/>
              <w:jc w:val="both"/>
            </w:pPr>
          </w:p>
          <w:p w14:paraId="6A1E353A" w14:textId="77777777" w:rsidR="00A474D8" w:rsidRPr="00A474D8" w:rsidRDefault="00A474D8" w:rsidP="00A474D8">
            <w:pPr>
              <w:pStyle w:val="Cabealho"/>
              <w:numPr>
                <w:ilvl w:val="0"/>
                <w:numId w:val="28"/>
              </w:numPr>
              <w:jc w:val="both"/>
            </w:pPr>
            <w:r w:rsidRPr="00A474D8">
              <w:rPr>
                <w:b/>
                <w:bCs/>
              </w:rPr>
              <w:t>Aumento da Produtividade:</w:t>
            </w:r>
            <w:r w:rsidRPr="00A474D8">
              <w:t xml:space="preserve"> </w:t>
            </w:r>
          </w:p>
          <w:p w14:paraId="23ECD235" w14:textId="77777777" w:rsidR="00A474D8" w:rsidRPr="00A474D8" w:rsidRDefault="00A474D8" w:rsidP="00A474D8">
            <w:pPr>
              <w:pStyle w:val="Cabealho"/>
              <w:numPr>
                <w:ilvl w:val="1"/>
                <w:numId w:val="28"/>
              </w:numPr>
              <w:jc w:val="both"/>
            </w:pPr>
            <w:r w:rsidRPr="00A474D8">
              <w:t>Servidores bem alimentados tendem a ser mais produtivos e eficientes, o que impacta positivamente a qualidade dos serviços prestados à população.</w:t>
            </w:r>
          </w:p>
          <w:p w14:paraId="4F48F074" w14:textId="77777777" w:rsidR="00A474D8" w:rsidRDefault="00A474D8" w:rsidP="00A474D8">
            <w:pPr>
              <w:pStyle w:val="Cabealho"/>
              <w:numPr>
                <w:ilvl w:val="1"/>
                <w:numId w:val="28"/>
              </w:numPr>
              <w:jc w:val="both"/>
            </w:pPr>
            <w:r w:rsidRPr="00A474D8">
              <w:t>O vale-alimentação pode ser um incentivo para o bom desempenho dos servidores, contribuindo para o alcance das metas da gestão municipal.</w:t>
            </w:r>
          </w:p>
          <w:p w14:paraId="173817D0" w14:textId="77777777" w:rsidR="00A474D8" w:rsidRPr="00A474D8" w:rsidRDefault="00A474D8" w:rsidP="00A474D8">
            <w:pPr>
              <w:pStyle w:val="Cabealho"/>
              <w:jc w:val="both"/>
            </w:pPr>
          </w:p>
          <w:p w14:paraId="3C3D6AA2" w14:textId="77777777" w:rsidR="00A474D8" w:rsidRPr="00A474D8" w:rsidRDefault="00A474D8" w:rsidP="00A474D8">
            <w:pPr>
              <w:pStyle w:val="Cabealho"/>
              <w:numPr>
                <w:ilvl w:val="0"/>
                <w:numId w:val="28"/>
              </w:numPr>
              <w:jc w:val="both"/>
            </w:pPr>
            <w:r w:rsidRPr="00A474D8">
              <w:rPr>
                <w:b/>
                <w:bCs/>
              </w:rPr>
              <w:t>Simplificação da Gestão:</w:t>
            </w:r>
            <w:r w:rsidRPr="00A474D8">
              <w:t xml:space="preserve"> </w:t>
            </w:r>
          </w:p>
          <w:p w14:paraId="1B309030" w14:textId="77777777" w:rsidR="00A474D8" w:rsidRPr="00A474D8" w:rsidRDefault="00A474D8" w:rsidP="00A474D8">
            <w:pPr>
              <w:pStyle w:val="Cabealho"/>
              <w:numPr>
                <w:ilvl w:val="1"/>
                <w:numId w:val="28"/>
              </w:numPr>
              <w:jc w:val="both"/>
            </w:pPr>
            <w:r w:rsidRPr="00A474D8">
              <w:t>A contratação de uma empresa especializada em vale-alimentação simplifica a gestão do benefício, reduzindo a burocracia e os custos operacionais.</w:t>
            </w:r>
          </w:p>
          <w:p w14:paraId="311831EB" w14:textId="77777777" w:rsidR="00A474D8" w:rsidRDefault="00A474D8" w:rsidP="00A474D8">
            <w:pPr>
              <w:pStyle w:val="Cabealho"/>
              <w:numPr>
                <w:ilvl w:val="1"/>
                <w:numId w:val="28"/>
              </w:numPr>
              <w:jc w:val="both"/>
            </w:pPr>
            <w:r w:rsidRPr="00A474D8">
              <w:t>A gestão eletrônica do vale-alimentação oferece maior controle e transparência, evitando fraudes e desvios.</w:t>
            </w:r>
          </w:p>
          <w:p w14:paraId="4A681FF1" w14:textId="77777777" w:rsidR="00A474D8" w:rsidRPr="00A474D8" w:rsidRDefault="00A474D8" w:rsidP="00A474D8">
            <w:pPr>
              <w:pStyle w:val="Cabealho"/>
              <w:jc w:val="both"/>
            </w:pPr>
          </w:p>
          <w:p w14:paraId="47EFDE43" w14:textId="5F654287" w:rsidR="009B08A4" w:rsidRPr="00826D6F" w:rsidRDefault="009B08A4" w:rsidP="00826D6F">
            <w:pPr>
              <w:pStyle w:val="Cabealho"/>
              <w:jc w:val="both"/>
            </w:pP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Pr="00702CD9" w:rsidRDefault="00204556">
            <w:pPr>
              <w:pStyle w:val="Cabealho"/>
              <w:numPr>
                <w:ilvl w:val="1"/>
                <w:numId w:val="2"/>
              </w:numPr>
              <w:rPr>
                <w:rFonts w:cs="Times New Roman"/>
                <w:b/>
                <w:bCs/>
                <w:color w:val="000000"/>
              </w:rPr>
            </w:pPr>
            <w:r w:rsidRPr="00702CD9">
              <w:rPr>
                <w:rFonts w:cs="Times New Roman"/>
                <w:b/>
                <w:bCs/>
                <w:color w:val="000000"/>
              </w:rPr>
              <w:lastRenderedPageBreak/>
              <w:t>Motivação/Justificativa</w:t>
            </w:r>
          </w:p>
        </w:tc>
      </w:tr>
      <w:tr w:rsidR="008A09EF" w:rsidRPr="00702CD9" w14:paraId="0A61C0D8" w14:textId="77777777" w:rsidTr="00913F47">
        <w:tc>
          <w:tcPr>
            <w:tcW w:w="8795" w:type="dxa"/>
            <w:tcBorders>
              <w:left w:val="single" w:sz="2" w:space="0" w:color="CCCCCC"/>
              <w:right w:val="single" w:sz="2" w:space="0" w:color="CCCCCC"/>
            </w:tcBorders>
            <w:shd w:val="clear" w:color="auto" w:fill="auto"/>
            <w:tcMar>
              <w:top w:w="55" w:type="dxa"/>
              <w:left w:w="55" w:type="dxa"/>
              <w:bottom w:w="55" w:type="dxa"/>
              <w:right w:w="55" w:type="dxa"/>
            </w:tcMar>
          </w:tcPr>
          <w:p w14:paraId="53E62AFE" w14:textId="77777777" w:rsidR="00195697" w:rsidRDefault="00B77C66" w:rsidP="003B6A58">
            <w:pPr>
              <w:jc w:val="both"/>
              <w:rPr>
                <w:rFonts w:cs="Times New Roman"/>
              </w:rPr>
            </w:pPr>
            <w:r>
              <w:rPr>
                <w:rFonts w:cs="Times New Roman"/>
              </w:rPr>
              <w:t xml:space="preserve">    </w:t>
            </w:r>
          </w:p>
          <w:p w14:paraId="0A6B705E" w14:textId="245B123E" w:rsidR="009B08A4" w:rsidRDefault="00801D41" w:rsidP="00801D41">
            <w:pPr>
              <w:widowControl/>
              <w:suppressAutoHyphens w:val="0"/>
              <w:autoSpaceDN/>
              <w:textAlignment w:val="auto"/>
              <w:rPr>
                <w:rFonts w:eastAsia="Times New Roman" w:cs="Times New Roman"/>
                <w:kern w:val="0"/>
                <w:lang w:eastAsia="pt-BR" w:bidi="ar-SA"/>
              </w:rPr>
            </w:pPr>
            <w:r w:rsidRPr="00801D41">
              <w:rPr>
                <w:rFonts w:eastAsia="Times New Roman" w:cs="Times New Roman"/>
                <w:kern w:val="0"/>
                <w:lang w:eastAsia="pt-BR" w:bidi="ar-SA"/>
              </w:rPr>
              <w:t xml:space="preserve">A </w:t>
            </w:r>
            <w:r w:rsidRPr="009B08A4">
              <w:rPr>
                <w:rFonts w:eastAsia="Times New Roman" w:cs="Times New Roman"/>
                <w:b/>
                <w:bCs/>
                <w:kern w:val="0"/>
                <w:lang w:eastAsia="pt-BR" w:bidi="ar-SA"/>
              </w:rPr>
              <w:t>principal justificativa</w:t>
            </w:r>
            <w:r w:rsidRPr="00801D41">
              <w:rPr>
                <w:rFonts w:eastAsia="Times New Roman" w:cs="Times New Roman"/>
                <w:kern w:val="0"/>
                <w:lang w:eastAsia="pt-BR" w:bidi="ar-SA"/>
              </w:rPr>
              <w:t xml:space="preserve"> reside na </w:t>
            </w:r>
            <w:r w:rsidR="00A474D8" w:rsidRPr="00A474D8">
              <w:rPr>
                <w:rFonts w:eastAsia="Times New Roman" w:cs="Times New Roman"/>
                <w:kern w:val="0"/>
                <w:lang w:eastAsia="pt-BR" w:bidi="ar-SA"/>
              </w:rPr>
              <w:t>contratação de vale-alimentação para a Prefeitura Municipal é uma medida que traz benefícios para os servidores, otimiza a gestão pública e cumpre obrigações legais, contribuindo para um serviço público mais eficiente e humanizado</w:t>
            </w:r>
            <w:r w:rsidRPr="00801D41">
              <w:rPr>
                <w:rFonts w:eastAsia="Times New Roman" w:cs="Times New Roman"/>
                <w:kern w:val="0"/>
                <w:lang w:eastAsia="pt-BR" w:bidi="ar-SA"/>
              </w:rPr>
              <w:t xml:space="preserve">. </w:t>
            </w:r>
          </w:p>
          <w:p w14:paraId="7DD7BFC2" w14:textId="77777777" w:rsidR="009B08A4" w:rsidRDefault="009B08A4" w:rsidP="00801D41">
            <w:pPr>
              <w:widowControl/>
              <w:suppressAutoHyphens w:val="0"/>
              <w:autoSpaceDN/>
              <w:textAlignment w:val="auto"/>
              <w:rPr>
                <w:rFonts w:eastAsia="Times New Roman" w:cs="Times New Roman"/>
                <w:kern w:val="0"/>
                <w:lang w:eastAsia="pt-BR" w:bidi="ar-SA"/>
              </w:rPr>
            </w:pPr>
          </w:p>
          <w:p w14:paraId="39B25B35" w14:textId="7CF08F45" w:rsidR="008A09EF" w:rsidRPr="00913F47" w:rsidRDefault="008A09EF" w:rsidP="00801D41">
            <w:pPr>
              <w:jc w:val="both"/>
              <w:rPr>
                <w:rFonts w:cs="Times New Roman"/>
              </w:rPr>
            </w:pPr>
          </w:p>
        </w:tc>
      </w:tr>
      <w:tr w:rsidR="00913F47" w:rsidRPr="00702CD9" w14:paraId="0766446C" w14:textId="77777777" w:rsidTr="00913F47">
        <w:tc>
          <w:tcPr>
            <w:tcW w:w="8795" w:type="dxa"/>
            <w:tcBorders>
              <w:left w:val="single" w:sz="2" w:space="0" w:color="CCCCCC"/>
              <w:right w:val="single" w:sz="2" w:space="0" w:color="CCCCCC"/>
            </w:tcBorders>
            <w:shd w:val="clear" w:color="auto" w:fill="auto"/>
            <w:tcMar>
              <w:top w:w="55" w:type="dxa"/>
              <w:left w:w="55" w:type="dxa"/>
              <w:bottom w:w="55" w:type="dxa"/>
              <w:right w:w="55" w:type="dxa"/>
            </w:tcMar>
          </w:tcPr>
          <w:p w14:paraId="23F84B1C" w14:textId="60A9181D" w:rsidR="00913F47" w:rsidRDefault="00913F47" w:rsidP="007D176D">
            <w:pPr>
              <w:pStyle w:val="Cabealho"/>
              <w:jc w:val="both"/>
              <w:rPr>
                <w:rFonts w:cs="Times New Roman"/>
                <w:b/>
                <w:iCs/>
                <w:color w:val="FF3333"/>
                <w:lang w:val="pt-PT"/>
              </w:rPr>
            </w:pPr>
          </w:p>
        </w:tc>
      </w:tr>
      <w:tr w:rsidR="00913F47" w:rsidRPr="00702CD9" w14:paraId="7F0D9171" w14:textId="77777777" w:rsidTr="000254FD">
        <w:trPr>
          <w:trHeight w:val="25"/>
        </w:trPr>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7325752F" w14:textId="0CC6FB6F" w:rsidR="00913F47" w:rsidRDefault="00913F47" w:rsidP="007D176D">
            <w:pPr>
              <w:pStyle w:val="Cabealho"/>
              <w:jc w:val="both"/>
              <w:rPr>
                <w:rFonts w:cs="Times New Roman"/>
                <w:b/>
                <w:iCs/>
                <w:color w:val="FF3333"/>
                <w:lang w:val="pt-PT"/>
              </w:rPr>
            </w:pPr>
          </w:p>
        </w:tc>
      </w:tr>
    </w:tbl>
    <w:p w14:paraId="632FE7F9" w14:textId="1AAD599C"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02DB5B53" w14:textId="78B91CAA" w:rsidR="00304111" w:rsidRPr="00702CD9" w:rsidRDefault="00304111" w:rsidP="003A334A">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DB5D3FB" w14:textId="77777777" w:rsidR="008F294E"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PREVISÃO NO PLANO DE CONTRATAÇÕES ANUAL</w:t>
            </w:r>
          </w:p>
          <w:p w14:paraId="3FE31C90" w14:textId="2E90005B"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Pr="008F294E">
              <w:rPr>
                <w:rFonts w:eastAsia="Times New Roman" w:cs="Tahoma"/>
                <w:szCs w:val="24"/>
              </w:rPr>
              <w:t xml:space="preserve"> </w:t>
            </w:r>
            <w:r w:rsidRPr="008F294E">
              <w:rPr>
                <w:rFonts w:cs="Times New Roman"/>
                <w:b/>
                <w:bCs/>
              </w:rPr>
              <w:t>(inciso II do § 1° do art. 18 da Lei 14.133/21)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5BCE69C0" w14:textId="7913C366" w:rsidR="008A09EF" w:rsidRPr="00CC01A5" w:rsidRDefault="00CC01A5" w:rsidP="003B6A58">
            <w:pPr>
              <w:pStyle w:val="Cabealho"/>
              <w:rPr>
                <w:rFonts w:cs="Times New Roman"/>
                <w:bCs/>
              </w:rPr>
            </w:pPr>
            <w:r w:rsidRPr="00CC01A5">
              <w:rPr>
                <w:rFonts w:cs="Times New Roman"/>
                <w:bCs/>
              </w:rPr>
              <w:t xml:space="preserve">Há previsão no Plano Anual elaborado pelo município, regulamentado e publicado no Portal Nacional de Contratações Públicas: </w:t>
            </w:r>
            <w:hyperlink r:id="rId10" w:history="1">
              <w:r w:rsidR="003A334A" w:rsidRPr="00DD2129">
                <w:rPr>
                  <w:rStyle w:val="Hyperlink"/>
                  <w:rFonts w:cs="Times New Roman"/>
                  <w:bCs/>
                </w:rPr>
                <w:t>https://pncp.gov.br/app/pca/44919611000103/2025</w:t>
              </w:r>
            </w:hyperlink>
            <w:r w:rsidR="003B6A58">
              <w:rPr>
                <w:rFonts w:cs="Times New Roman"/>
              </w:rPr>
              <w:t>.</w:t>
            </w:r>
          </w:p>
        </w:tc>
      </w:tr>
    </w:tbl>
    <w:p w14:paraId="7AA1D649" w14:textId="798FB73F" w:rsidR="008A09EF"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6EEA70" w14:textId="77777777" w:rsidR="008A09EF"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REQUISITOS DA CONTRATAÇÃO</w:t>
            </w:r>
          </w:p>
          <w:p w14:paraId="2DA6ABA7" w14:textId="60F16639" w:rsidR="008F294E" w:rsidRPr="008F294E" w:rsidRDefault="008F294E" w:rsidP="008F294E">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8F294E">
              <w:rPr>
                <w:rFonts w:cs="Times New Roman"/>
                <w:b/>
                <w:bCs/>
              </w:rPr>
              <w:t>(inciso III do § 1° do art. 18 da Lei 14.133/2021)</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9B08A4">
        <w:trPr>
          <w:trHeight w:val="793"/>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5A4FE30F" w14:textId="77777777" w:rsidR="00A474D8" w:rsidRDefault="00A474D8" w:rsidP="003A334A">
            <w:pPr>
              <w:shd w:val="clear" w:color="auto" w:fill="FFFFFF"/>
              <w:spacing w:line="360" w:lineRule="auto"/>
              <w:jc w:val="both"/>
              <w:rPr>
                <w:b/>
                <w:u w:val="single"/>
              </w:rPr>
            </w:pPr>
          </w:p>
          <w:p w14:paraId="3106215E" w14:textId="41AF220C" w:rsidR="00A474D8" w:rsidRDefault="00A474D8" w:rsidP="00A474D8">
            <w:pPr>
              <w:tabs>
                <w:tab w:val="left" w:pos="0"/>
              </w:tabs>
              <w:ind w:left="-2"/>
              <w:jc w:val="both"/>
              <w:rPr>
                <w:rFonts w:ascii="Book Antiqua" w:eastAsia="Book Antiqua" w:hAnsi="Book Antiqua" w:cs="Book Antiqua"/>
              </w:rPr>
            </w:pPr>
            <w:r>
              <w:rPr>
                <w:rFonts w:ascii="Book Antiqua" w:eastAsia="Book Antiqua" w:hAnsi="Book Antiqua" w:cs="Book Antiqua"/>
              </w:rPr>
              <w:t xml:space="preserve">                       O fornecimento dos cartões </w:t>
            </w:r>
            <w:r w:rsidRPr="00A474D8">
              <w:rPr>
                <w:rFonts w:ascii="Book Antiqua" w:eastAsia="Book Antiqua" w:hAnsi="Book Antiqua" w:cs="Book Antiqua"/>
                <w:b/>
                <w:bCs/>
              </w:rPr>
              <w:t>será de inteira responsabilidade da empresa contratada</w:t>
            </w:r>
            <w:r>
              <w:rPr>
                <w:rFonts w:ascii="Book Antiqua" w:eastAsia="Book Antiqua" w:hAnsi="Book Antiqua" w:cs="Book Antiqua"/>
              </w:rPr>
              <w:t>, podendo ser utilizados para aquisição de gêneros alimentícios em estabelecimentos comerciais de rede credenciada, podendo se estender a outros benefícios, conforme escolha do servidor beneficiado.</w:t>
            </w:r>
          </w:p>
          <w:p w14:paraId="79096AD8" w14:textId="77777777" w:rsidR="00A474D8" w:rsidRDefault="00A474D8" w:rsidP="00A474D8">
            <w:pPr>
              <w:tabs>
                <w:tab w:val="left" w:pos="0"/>
              </w:tabs>
              <w:ind w:hanging="2"/>
              <w:jc w:val="both"/>
              <w:rPr>
                <w:rFonts w:ascii="Book Antiqua" w:eastAsia="Book Antiqua" w:hAnsi="Book Antiqua" w:cs="Book Antiqua"/>
              </w:rPr>
            </w:pPr>
          </w:p>
          <w:p w14:paraId="717E37BE" w14:textId="77777777" w:rsidR="00E73C68" w:rsidRDefault="00E73C68" w:rsidP="00A474D8">
            <w:pPr>
              <w:tabs>
                <w:tab w:val="left" w:pos="0"/>
              </w:tabs>
              <w:ind w:hanging="2"/>
              <w:jc w:val="both"/>
              <w:rPr>
                <w:rFonts w:ascii="Book Antiqua" w:eastAsia="Book Antiqua" w:hAnsi="Book Antiqua" w:cs="Book Antiqua"/>
              </w:rPr>
            </w:pPr>
          </w:p>
          <w:p w14:paraId="74E7A5C8" w14:textId="77777777" w:rsidR="00E73C68" w:rsidRDefault="00E73C68" w:rsidP="00A474D8">
            <w:pPr>
              <w:tabs>
                <w:tab w:val="left" w:pos="0"/>
              </w:tabs>
              <w:ind w:hanging="2"/>
              <w:jc w:val="both"/>
              <w:rPr>
                <w:rFonts w:ascii="Book Antiqua" w:eastAsia="Book Antiqua" w:hAnsi="Book Antiqua" w:cs="Book Antiqua"/>
              </w:rPr>
            </w:pPr>
          </w:p>
          <w:p w14:paraId="4054BC65" w14:textId="77777777" w:rsidR="00E73C68" w:rsidRDefault="00E73C68" w:rsidP="00A474D8">
            <w:pPr>
              <w:tabs>
                <w:tab w:val="left" w:pos="0"/>
              </w:tabs>
              <w:ind w:hanging="2"/>
              <w:jc w:val="both"/>
              <w:rPr>
                <w:rFonts w:ascii="Book Antiqua" w:eastAsia="Book Antiqua" w:hAnsi="Book Antiqua" w:cs="Book Antiqua"/>
              </w:rPr>
            </w:pPr>
          </w:p>
          <w:p w14:paraId="533AF035" w14:textId="094EB7FF" w:rsidR="00A474D8" w:rsidRDefault="00A474D8" w:rsidP="00A474D8">
            <w:pPr>
              <w:pStyle w:val="PargrafodaLista"/>
              <w:numPr>
                <w:ilvl w:val="0"/>
                <w:numId w:val="31"/>
              </w:numPr>
              <w:tabs>
                <w:tab w:val="left" w:pos="0"/>
              </w:tabs>
              <w:jc w:val="both"/>
              <w:rPr>
                <w:rFonts w:ascii="Book Antiqua" w:eastAsia="Book Antiqua" w:hAnsi="Book Antiqua" w:cs="Book Antiqua"/>
              </w:rPr>
            </w:pPr>
            <w:r w:rsidRPr="00A474D8">
              <w:rPr>
                <w:rFonts w:ascii="Book Antiqua" w:eastAsia="Book Antiqua" w:hAnsi="Book Antiqua" w:cs="Book Antiqua"/>
                <w:b/>
                <w:bCs/>
              </w:rPr>
              <w:t>A empresa não cobrará taxa administrativa</w:t>
            </w:r>
            <w:r w:rsidRPr="00A474D8">
              <w:rPr>
                <w:rFonts w:ascii="Book Antiqua" w:eastAsia="Book Antiqua" w:hAnsi="Book Antiqua" w:cs="Book Antiqua"/>
              </w:rPr>
              <w:t>, taxa de entrega, ou qualquer outro valor seja para a emissão do primeiro cartão, seja para a substituição dos cartões por vencimento do prazo de validade ou para reemissão dos mesmos (2ª. Via) em razão de extravio (perda, furto ou roubo) ou danificação.</w:t>
            </w:r>
          </w:p>
          <w:p w14:paraId="7299C8F8" w14:textId="77777777" w:rsidR="00E73C68" w:rsidRPr="00A474D8" w:rsidRDefault="00E73C68" w:rsidP="00E73C68">
            <w:pPr>
              <w:pStyle w:val="PargrafodaLista"/>
              <w:tabs>
                <w:tab w:val="left" w:pos="0"/>
              </w:tabs>
              <w:jc w:val="both"/>
              <w:rPr>
                <w:rFonts w:ascii="Book Antiqua" w:eastAsia="Book Antiqua" w:hAnsi="Book Antiqua" w:cs="Book Antiqua"/>
              </w:rPr>
            </w:pPr>
          </w:p>
          <w:p w14:paraId="171E1206" w14:textId="3BB3A4A7" w:rsid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Os cartões deverão ser entregues bloqueados e embalados individualmente.</w:t>
            </w:r>
          </w:p>
          <w:p w14:paraId="4A42E542" w14:textId="77777777" w:rsidR="00E73C68" w:rsidRPr="00E73C68" w:rsidRDefault="00E73C68" w:rsidP="00E73C68">
            <w:pPr>
              <w:pStyle w:val="PargrafodaLista"/>
              <w:rPr>
                <w:rFonts w:ascii="Book Antiqua" w:eastAsia="Book Antiqua" w:hAnsi="Book Antiqua" w:cs="Book Antiqua"/>
              </w:rPr>
            </w:pPr>
          </w:p>
          <w:p w14:paraId="29A8C2B8" w14:textId="77777777" w:rsidR="00E73C68" w:rsidRPr="00A474D8" w:rsidRDefault="00E73C68" w:rsidP="00E73C68">
            <w:pPr>
              <w:pStyle w:val="PargrafodaLista"/>
              <w:tabs>
                <w:tab w:val="left" w:pos="0"/>
              </w:tabs>
              <w:spacing w:line="276" w:lineRule="auto"/>
              <w:jc w:val="both"/>
              <w:rPr>
                <w:rFonts w:ascii="Book Antiqua" w:eastAsia="Book Antiqua" w:hAnsi="Book Antiqua" w:cs="Book Antiqua"/>
              </w:rPr>
            </w:pPr>
          </w:p>
          <w:p w14:paraId="77A631D0" w14:textId="2DF8C53E" w:rsid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 xml:space="preserve">A contratada deverá disponibilizar atendimento ou </w:t>
            </w:r>
            <w:proofErr w:type="gramStart"/>
            <w:r w:rsidRPr="00A474D8">
              <w:rPr>
                <w:rFonts w:ascii="Book Antiqua" w:eastAsia="Book Antiqua" w:hAnsi="Book Antiqua" w:cs="Book Antiqua"/>
              </w:rPr>
              <w:t>procedimento  para</w:t>
            </w:r>
            <w:proofErr w:type="gramEnd"/>
            <w:r w:rsidRPr="00A474D8">
              <w:rPr>
                <w:rFonts w:ascii="Book Antiqua" w:eastAsia="Book Antiqua" w:hAnsi="Book Antiqua" w:cs="Book Antiqua"/>
              </w:rPr>
              <w:t xml:space="preserve"> que o beneficiário realize o desbloqueio do cartão, podendo ser por </w:t>
            </w:r>
            <w:proofErr w:type="gramStart"/>
            <w:r w:rsidRPr="00A474D8">
              <w:rPr>
                <w:rFonts w:ascii="Book Antiqua" w:eastAsia="Book Antiqua" w:hAnsi="Book Antiqua" w:cs="Book Antiqua"/>
              </w:rPr>
              <w:t>meio  de</w:t>
            </w:r>
            <w:proofErr w:type="gramEnd"/>
            <w:r w:rsidRPr="00A474D8">
              <w:rPr>
                <w:rFonts w:ascii="Book Antiqua" w:eastAsia="Book Antiqua" w:hAnsi="Book Antiqua" w:cs="Book Antiqua"/>
              </w:rPr>
              <w:t xml:space="preserve"> telefone, pela internet e/ou por app, em qualquer caso, garantindo a </w:t>
            </w:r>
            <w:r w:rsidRPr="00A474D8">
              <w:rPr>
                <w:rFonts w:ascii="Book Antiqua" w:eastAsia="Book Antiqua" w:hAnsi="Book Antiqua" w:cs="Book Antiqua"/>
              </w:rPr>
              <w:lastRenderedPageBreak/>
              <w:t>segurança da operação;</w:t>
            </w:r>
          </w:p>
          <w:p w14:paraId="29B37267" w14:textId="77777777" w:rsidR="00E73C68" w:rsidRPr="00A474D8" w:rsidRDefault="00E73C68" w:rsidP="00E73C68">
            <w:pPr>
              <w:pStyle w:val="PargrafodaLista"/>
              <w:tabs>
                <w:tab w:val="left" w:pos="0"/>
              </w:tabs>
              <w:spacing w:line="276" w:lineRule="auto"/>
              <w:jc w:val="both"/>
              <w:rPr>
                <w:rFonts w:ascii="Book Antiqua" w:eastAsia="Book Antiqua" w:hAnsi="Book Antiqua" w:cs="Book Antiqua"/>
              </w:rPr>
            </w:pPr>
          </w:p>
          <w:p w14:paraId="3DD1FD43" w14:textId="67D9EA27"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Os cartões deverão ter obrigatoriamente senha individualizada, obedecendo aos padrões técnicos e características físicas que garantam a segurança quando da distribuição e da utilização no pagamento das despesas.</w:t>
            </w:r>
          </w:p>
          <w:p w14:paraId="3BEDC131" w14:textId="780DEF27" w:rsidR="00A474D8" w:rsidRPr="00A474D8" w:rsidRDefault="00A474D8" w:rsidP="00E73C68">
            <w:pPr>
              <w:pStyle w:val="PargrafodaLista"/>
              <w:shd w:val="clear" w:color="auto" w:fill="AAE571"/>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Das formas de atendimento ao beneficiário:</w:t>
            </w:r>
          </w:p>
          <w:p w14:paraId="2B194414" w14:textId="11761539"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A contratada deverá disponibilizar ao beneficiário forma de controle de saldo e forma de utilização, com senha numérica pessoal e intransferível.</w:t>
            </w:r>
          </w:p>
          <w:p w14:paraId="03556D7D" w14:textId="1CE78298"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A contratada deverá disponibilizar mecanismo de bloqueio imediato ao beneficiário em caso de extravio do cartão;</w:t>
            </w:r>
          </w:p>
          <w:p w14:paraId="7F560D0D" w14:textId="64584C87"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A contratada deverá disponibilizar central de atendimento ao usuário e à contratante em dias úteis, em horário comercial (no mínimo entre 9h e 17h);</w:t>
            </w:r>
          </w:p>
          <w:p w14:paraId="233FB838" w14:textId="0238A071" w:rsidR="00A474D8" w:rsidRPr="00A474D8" w:rsidRDefault="00A474D8" w:rsidP="00E73C68">
            <w:pPr>
              <w:pStyle w:val="PargrafodaLista"/>
              <w:shd w:val="clear" w:color="auto" w:fill="AAE571"/>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Das informações:</w:t>
            </w:r>
          </w:p>
          <w:p w14:paraId="5E8AF690" w14:textId="584CC3C9"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A contratada deverá manter a relação dos estabelecimentos credenciados atualizadas e de fácil acesso à contratante e aos beneficiários;</w:t>
            </w:r>
          </w:p>
          <w:p w14:paraId="1421D153" w14:textId="46C18401" w:rsidR="00A474D8" w:rsidRPr="00A474D8" w:rsidRDefault="00A474D8" w:rsidP="00E73C68">
            <w:pPr>
              <w:pStyle w:val="PargrafodaLista"/>
              <w:shd w:val="clear" w:color="auto" w:fill="AAE571"/>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Dos créditos:</w:t>
            </w:r>
          </w:p>
          <w:p w14:paraId="70681CEA" w14:textId="047398D0" w:rsidR="00A474D8" w:rsidRPr="00A474D8" w:rsidRDefault="00A474D8" w:rsidP="00A474D8">
            <w:pPr>
              <w:pStyle w:val="PargrafodaLista"/>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ab/>
              <w:t>Os créditos inseridos nos cartões eletrônicos caso não utilizados dentro do mês de competência deverão obrigatoriamente somar-se aos próximos créditos, sendo o saldo cumulativo;</w:t>
            </w:r>
          </w:p>
          <w:p w14:paraId="652A2CF3" w14:textId="087181DA"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Não haverá limite diário de utilização dos créditos;</w:t>
            </w:r>
          </w:p>
          <w:p w14:paraId="1E0B4E81" w14:textId="470D08CF"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Após o término do contrato, os créditos remanescentes deverão ter a validade de 90 (noventa) dias, para que o beneficiário possa utilizá-los.</w:t>
            </w:r>
          </w:p>
          <w:p w14:paraId="32CF77BE" w14:textId="6696ECF3"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Transcorrido este prazo, conforme orientação do Banco Central, eventual saldo remanescente vinculado ao CPF do beneficiário, deverá ser disponibilizado a ele, quando solicitado à Contratada em qualquer tempo.</w:t>
            </w:r>
          </w:p>
          <w:p w14:paraId="5C31756F" w14:textId="1124CCF3" w:rsidR="00A474D8" w:rsidRPr="00A474D8" w:rsidRDefault="00A474D8" w:rsidP="00E73C68">
            <w:pPr>
              <w:pStyle w:val="PargrafodaLista"/>
              <w:shd w:val="clear" w:color="auto" w:fill="AAE571"/>
              <w:tabs>
                <w:tab w:val="left" w:pos="0"/>
              </w:tabs>
              <w:spacing w:after="120"/>
              <w:ind w:right="32"/>
              <w:jc w:val="both"/>
              <w:rPr>
                <w:rFonts w:ascii="Book Antiqua" w:eastAsia="Book Antiqua" w:hAnsi="Book Antiqua" w:cs="Book Antiqua"/>
              </w:rPr>
            </w:pPr>
            <w:r w:rsidRPr="00A474D8">
              <w:rPr>
                <w:rFonts w:ascii="Book Antiqua" w:eastAsia="Book Antiqua" w:hAnsi="Book Antiqua" w:cs="Book Antiqua"/>
              </w:rPr>
              <w:t>Da rede credenciada:</w:t>
            </w:r>
          </w:p>
          <w:p w14:paraId="7073131D" w14:textId="0F4D4B18"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Não há quantidade mínima de estabelecimento credenciados exigida como condição de credenciamento pelo ente público, ressaltando-se que a qualidade e a quantidade dos estabelecimentos poderão ser levadas em consideração pelos próprios servidores públicos beneficiários quando da escolha dentre os cartões credenciados – conforme cronograma.</w:t>
            </w:r>
          </w:p>
          <w:p w14:paraId="09B1400A" w14:textId="4F098B27" w:rsidR="00A474D8" w:rsidRPr="00A474D8" w:rsidRDefault="00A474D8" w:rsidP="00A474D8">
            <w:pPr>
              <w:pStyle w:val="PargrafodaLista"/>
              <w:numPr>
                <w:ilvl w:val="0"/>
                <w:numId w:val="31"/>
              </w:numPr>
              <w:tabs>
                <w:tab w:val="left" w:pos="0"/>
              </w:tabs>
              <w:spacing w:line="276" w:lineRule="auto"/>
              <w:jc w:val="both"/>
              <w:rPr>
                <w:rFonts w:ascii="Book Antiqua" w:eastAsia="Book Antiqua" w:hAnsi="Book Antiqua" w:cs="Book Antiqua"/>
              </w:rPr>
            </w:pPr>
            <w:r w:rsidRPr="00A474D8">
              <w:rPr>
                <w:rFonts w:ascii="Book Antiqua" w:eastAsia="Book Antiqua" w:hAnsi="Book Antiqua" w:cs="Book Antiqua"/>
              </w:rPr>
              <w:tab/>
              <w:t xml:space="preserve">A suspensão de atendimento por prazo igual ou superior a 1 (um) mês ou a saída definitiva de qualquer estabelecimento da rede credenciada </w:t>
            </w:r>
            <w:r w:rsidRPr="00A474D8">
              <w:rPr>
                <w:rFonts w:ascii="Book Antiqua" w:eastAsia="Book Antiqua" w:hAnsi="Book Antiqua" w:cs="Book Antiqua"/>
              </w:rPr>
              <w:lastRenderedPageBreak/>
              <w:t>é motivo que autoriza o beneficiário a optar por novo fornecedor credenciado.</w:t>
            </w:r>
          </w:p>
          <w:p w14:paraId="6FF286E3" w14:textId="48BB7544" w:rsidR="00A474D8" w:rsidRPr="00A474D8" w:rsidRDefault="00A474D8" w:rsidP="00E73C68">
            <w:pPr>
              <w:pStyle w:val="PargrafodaLista"/>
              <w:shd w:val="clear" w:color="auto" w:fill="AAE571"/>
              <w:tabs>
                <w:tab w:val="left" w:pos="0"/>
              </w:tabs>
              <w:spacing w:after="120"/>
              <w:ind w:right="32"/>
              <w:jc w:val="both"/>
              <w:rPr>
                <w:rFonts w:ascii="Book Antiqua" w:eastAsia="Book Antiqua" w:hAnsi="Book Antiqua" w:cs="Book Antiqua"/>
              </w:rPr>
            </w:pPr>
            <w:r w:rsidRPr="00A474D8">
              <w:rPr>
                <w:rFonts w:ascii="Book Antiqua" w:eastAsia="Book Antiqua" w:hAnsi="Book Antiqua" w:cs="Book Antiqua"/>
              </w:rPr>
              <w:t>No mais, a contratação deverá observar os seguintes requisitos:</w:t>
            </w:r>
          </w:p>
          <w:p w14:paraId="462DA8B4" w14:textId="58645AE7" w:rsidR="00A474D8" w:rsidRPr="00A474D8" w:rsidRDefault="00A474D8" w:rsidP="00A474D8">
            <w:pPr>
              <w:pStyle w:val="PargrafodaLista"/>
              <w:numPr>
                <w:ilvl w:val="0"/>
                <w:numId w:val="31"/>
              </w:numPr>
              <w:tabs>
                <w:tab w:val="left" w:pos="0"/>
              </w:tabs>
              <w:spacing w:after="120"/>
              <w:ind w:right="32"/>
              <w:jc w:val="both"/>
              <w:rPr>
                <w:rFonts w:ascii="Book Antiqua" w:eastAsia="Book Antiqua" w:hAnsi="Book Antiqua" w:cs="Book Antiqua"/>
              </w:rPr>
            </w:pPr>
            <w:r w:rsidRPr="00A474D8">
              <w:rPr>
                <w:rFonts w:ascii="Book Antiqua" w:eastAsia="Book Antiqua" w:hAnsi="Book Antiqua" w:cs="Book Antiqua"/>
              </w:rPr>
              <w:t>Sustentabilidade.</w:t>
            </w:r>
          </w:p>
          <w:p w14:paraId="60ADCD24" w14:textId="1AFE6C1C" w:rsidR="00A474D8" w:rsidRPr="00A474D8" w:rsidRDefault="00A474D8" w:rsidP="00A474D8">
            <w:pPr>
              <w:pStyle w:val="PargrafodaLista"/>
              <w:numPr>
                <w:ilvl w:val="0"/>
                <w:numId w:val="31"/>
              </w:numPr>
              <w:tabs>
                <w:tab w:val="left" w:pos="0"/>
              </w:tabs>
              <w:spacing w:after="120"/>
              <w:ind w:right="32"/>
              <w:jc w:val="both"/>
              <w:rPr>
                <w:rFonts w:ascii="Book Antiqua" w:eastAsia="Book Antiqua" w:hAnsi="Book Antiqua" w:cs="Book Antiqua"/>
              </w:rPr>
            </w:pPr>
            <w:r w:rsidRPr="00A474D8">
              <w:rPr>
                <w:rFonts w:ascii="Book Antiqua" w:eastAsia="Book Antiqua" w:hAnsi="Book Antiqua" w:cs="Book Antiqua"/>
              </w:rPr>
              <w:t xml:space="preserve"> Além dos critérios de sustentabilidade eventualmente inseridos na descrição do objeto, devem ser atendidos os requisitos que se baseiam no Guia Nacional de Contratações Sustentáveis;</w:t>
            </w:r>
          </w:p>
          <w:p w14:paraId="06A3D06C" w14:textId="438A8B1C" w:rsidR="00A474D8" w:rsidRPr="00A474D8" w:rsidRDefault="00A474D8" w:rsidP="00A474D8">
            <w:pPr>
              <w:pStyle w:val="PargrafodaLista"/>
              <w:numPr>
                <w:ilvl w:val="0"/>
                <w:numId w:val="31"/>
              </w:numPr>
              <w:tabs>
                <w:tab w:val="left" w:pos="0"/>
              </w:tabs>
              <w:spacing w:after="120"/>
              <w:ind w:right="32"/>
              <w:jc w:val="both"/>
              <w:rPr>
                <w:rFonts w:ascii="Book Antiqua" w:eastAsia="Book Antiqua" w:hAnsi="Book Antiqua" w:cs="Book Antiqua"/>
              </w:rPr>
            </w:pPr>
            <w:r w:rsidRPr="00A474D8">
              <w:rPr>
                <w:rFonts w:ascii="Book Antiqua" w:eastAsia="Book Antiqua" w:hAnsi="Book Antiqua" w:cs="Book Antiqua"/>
              </w:rPr>
              <w:t>Adequação às normas e regulamentações vigentes sobre cartão-alimentação.</w:t>
            </w:r>
          </w:p>
          <w:p w14:paraId="15275DC8" w14:textId="1CDFE994" w:rsidR="00FF3299" w:rsidRPr="00A474D8" w:rsidRDefault="00A474D8" w:rsidP="00A474D8">
            <w:pPr>
              <w:pStyle w:val="PargrafodaLista"/>
              <w:widowControl/>
              <w:numPr>
                <w:ilvl w:val="0"/>
                <w:numId w:val="31"/>
              </w:numPr>
              <w:suppressAutoHyphens w:val="0"/>
              <w:autoSpaceDN/>
              <w:spacing w:before="100" w:beforeAutospacing="1" w:after="100" w:afterAutospacing="1"/>
              <w:textAlignment w:val="auto"/>
              <w:rPr>
                <w:rFonts w:eastAsia="Times New Roman" w:cs="Times New Roman"/>
              </w:rPr>
            </w:pPr>
            <w:r w:rsidRPr="00A474D8">
              <w:rPr>
                <w:rFonts w:ascii="Book Antiqua" w:eastAsia="Book Antiqua" w:hAnsi="Book Antiqua" w:cs="Book Antiqua"/>
              </w:rPr>
              <w:t>Não será admitida a subcontratação do objeto contratual.</w:t>
            </w:r>
          </w:p>
        </w:tc>
      </w:tr>
      <w:tr w:rsidR="008F294E" w:rsidRPr="00702CD9" w14:paraId="455F27A4" w14:textId="77777777" w:rsidTr="007A2607">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3A334A">
            <w:pPr>
              <w:pStyle w:val="Cabealho"/>
              <w:jc w:val="both"/>
              <w:rPr>
                <w:rFonts w:cs="Times New Roman"/>
              </w:rPr>
            </w:pPr>
          </w:p>
        </w:tc>
      </w:tr>
    </w:tbl>
    <w:p w14:paraId="1848E6C2" w14:textId="6C2B19A5" w:rsidR="008B59DD" w:rsidRDefault="008B59DD">
      <w:pPr>
        <w:rPr>
          <w:rFonts w:cs="Times New Roman"/>
          <w:lang w:eastAsia="zh-CN"/>
        </w:rPr>
      </w:pPr>
    </w:p>
    <w:p w14:paraId="60846428" w14:textId="77777777" w:rsidR="00E73C68" w:rsidRPr="00702CD9" w:rsidRDefault="00E73C68">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BC5FA3B" w14:textId="77777777" w:rsidR="00B1043F"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F035EC">
              <w:rPr>
                <w:rFonts w:cs="Times New Roman"/>
                <w:b/>
                <w:bCs/>
              </w:rPr>
              <w:t>ESTIMATIVA DAS QUANTIDADES</w:t>
            </w:r>
          </w:p>
          <w:p w14:paraId="601BF7D3" w14:textId="77777777" w:rsidR="00F035EC" w:rsidRPr="00F035EC"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IV do § 1° do art. 18 da Lei 14.133/21).</w:t>
            </w:r>
          </w:p>
          <w:p w14:paraId="519A5AF7" w14:textId="74673048" w:rsidR="00F035EC"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rPr>
            </w:pPr>
          </w:p>
        </w:tc>
      </w:tr>
    </w:tbl>
    <w:p w14:paraId="0F014D9A" w14:textId="77777777"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tbl>
      <w:tblPr>
        <w:tblW w:w="7601" w:type="dxa"/>
        <w:tblLayout w:type="fixed"/>
        <w:tblCellMar>
          <w:left w:w="10" w:type="dxa"/>
          <w:right w:w="10" w:type="dxa"/>
        </w:tblCellMar>
        <w:tblLook w:val="04A0" w:firstRow="1" w:lastRow="0" w:firstColumn="1" w:lastColumn="0" w:noHBand="0" w:noVBand="1"/>
      </w:tblPr>
      <w:tblGrid>
        <w:gridCol w:w="7601"/>
      </w:tblGrid>
      <w:tr w:rsidR="00B1043F" w:rsidRPr="00702CD9" w14:paraId="551B5AE5" w14:textId="77777777" w:rsidTr="00E73C68">
        <w:trPr>
          <w:trHeight w:val="4419"/>
        </w:trPr>
        <w:tc>
          <w:tcPr>
            <w:tcW w:w="7601" w:type="dxa"/>
            <w:tcBorders>
              <w:left w:val="single" w:sz="2" w:space="0" w:color="CCCCCC"/>
              <w:right w:val="single" w:sz="2" w:space="0" w:color="CCCCCC"/>
            </w:tcBorders>
            <w:shd w:val="clear" w:color="auto" w:fill="FFFFFF" w:themeFill="background1"/>
            <w:tcMar>
              <w:top w:w="55" w:type="dxa"/>
              <w:left w:w="55" w:type="dxa"/>
              <w:bottom w:w="55" w:type="dxa"/>
              <w:right w:w="55" w:type="dxa"/>
            </w:tcMar>
          </w:tcPr>
          <w:tbl>
            <w:tblPr>
              <w:tblW w:w="6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74"/>
              <w:gridCol w:w="1278"/>
              <w:gridCol w:w="1134"/>
              <w:gridCol w:w="836"/>
            </w:tblGrid>
            <w:tr w:rsidR="00E73C68" w:rsidRPr="00CE4C8D" w14:paraId="2A641819" w14:textId="77777777" w:rsidTr="00C61B11">
              <w:trPr>
                <w:trHeight w:val="561"/>
                <w:jc w:val="center"/>
              </w:trPr>
              <w:tc>
                <w:tcPr>
                  <w:tcW w:w="598" w:type="dxa"/>
                  <w:shd w:val="clear" w:color="auto" w:fill="AAE571"/>
                </w:tcPr>
                <w:p w14:paraId="381EC099" w14:textId="77777777" w:rsidR="00E73C68" w:rsidRPr="00C61B11" w:rsidRDefault="00E73C68" w:rsidP="00E73C68">
                  <w:pPr>
                    <w:spacing w:after="120" w:line="26" w:lineRule="atLeast"/>
                    <w:ind w:hanging="2"/>
                    <w:jc w:val="center"/>
                    <w:rPr>
                      <w:rFonts w:ascii="Arial" w:hAnsi="Arial" w:cs="Arial"/>
                      <w:b/>
                      <w:sz w:val="14"/>
                      <w:szCs w:val="14"/>
                    </w:rPr>
                  </w:pPr>
                  <w:r w:rsidRPr="00C61B11">
                    <w:rPr>
                      <w:rFonts w:ascii="Arial" w:hAnsi="Arial" w:cs="Arial"/>
                      <w:b/>
                      <w:sz w:val="14"/>
                      <w:szCs w:val="14"/>
                    </w:rPr>
                    <w:t>ITEM</w:t>
                  </w:r>
                </w:p>
              </w:tc>
              <w:tc>
                <w:tcPr>
                  <w:tcW w:w="2974" w:type="dxa"/>
                  <w:shd w:val="clear" w:color="auto" w:fill="AAE571"/>
                </w:tcPr>
                <w:p w14:paraId="0ECF7930" w14:textId="77777777" w:rsidR="00E73C68" w:rsidRPr="00C61B11" w:rsidRDefault="00E73C68" w:rsidP="00E73C68">
                  <w:pPr>
                    <w:spacing w:after="120" w:line="26" w:lineRule="atLeast"/>
                    <w:ind w:hanging="2"/>
                    <w:jc w:val="center"/>
                    <w:rPr>
                      <w:rFonts w:ascii="Arial" w:hAnsi="Arial" w:cs="Arial"/>
                      <w:b/>
                      <w:sz w:val="14"/>
                      <w:szCs w:val="14"/>
                    </w:rPr>
                  </w:pPr>
                  <w:r w:rsidRPr="00C61B11">
                    <w:rPr>
                      <w:rFonts w:ascii="Arial" w:hAnsi="Arial" w:cs="Arial"/>
                      <w:b/>
                      <w:sz w:val="14"/>
                      <w:szCs w:val="14"/>
                    </w:rPr>
                    <w:t>OBJETO</w:t>
                  </w:r>
                </w:p>
              </w:tc>
              <w:tc>
                <w:tcPr>
                  <w:tcW w:w="1278" w:type="dxa"/>
                  <w:shd w:val="clear" w:color="auto" w:fill="AAE571"/>
                </w:tcPr>
                <w:p w14:paraId="4868E47A" w14:textId="77777777" w:rsidR="00E73C68" w:rsidRPr="00C61B11" w:rsidRDefault="00E73C68" w:rsidP="00E73C68">
                  <w:pPr>
                    <w:spacing w:after="120" w:line="26" w:lineRule="atLeast"/>
                    <w:ind w:hanging="2"/>
                    <w:jc w:val="center"/>
                    <w:rPr>
                      <w:rFonts w:ascii="Arial" w:hAnsi="Arial" w:cs="Arial"/>
                      <w:b/>
                      <w:sz w:val="14"/>
                      <w:szCs w:val="14"/>
                    </w:rPr>
                  </w:pPr>
                  <w:r w:rsidRPr="00C61B11">
                    <w:rPr>
                      <w:rFonts w:ascii="Arial" w:hAnsi="Arial" w:cs="Arial"/>
                      <w:b/>
                      <w:sz w:val="14"/>
                      <w:szCs w:val="14"/>
                    </w:rPr>
                    <w:t>TIPO DO BENEFÍCIO</w:t>
                  </w:r>
                </w:p>
              </w:tc>
              <w:tc>
                <w:tcPr>
                  <w:tcW w:w="1134" w:type="dxa"/>
                  <w:shd w:val="clear" w:color="auto" w:fill="AAE571"/>
                </w:tcPr>
                <w:p w14:paraId="7B120571" w14:textId="77777777" w:rsidR="00E73C68" w:rsidRPr="00C61B11" w:rsidRDefault="00E73C68" w:rsidP="00E73C68">
                  <w:pPr>
                    <w:spacing w:after="120" w:line="26" w:lineRule="atLeast"/>
                    <w:ind w:hanging="2"/>
                    <w:jc w:val="center"/>
                    <w:rPr>
                      <w:rFonts w:ascii="Arial" w:hAnsi="Arial" w:cs="Arial"/>
                      <w:b/>
                      <w:sz w:val="14"/>
                      <w:szCs w:val="14"/>
                    </w:rPr>
                  </w:pPr>
                  <w:r w:rsidRPr="00C61B11">
                    <w:rPr>
                      <w:rFonts w:ascii="Arial" w:hAnsi="Arial" w:cs="Arial"/>
                      <w:b/>
                      <w:sz w:val="14"/>
                      <w:szCs w:val="14"/>
                    </w:rPr>
                    <w:t>QUANTIDADE</w:t>
                  </w:r>
                </w:p>
                <w:p w14:paraId="7D67BA2E" w14:textId="77777777" w:rsidR="00E73C68" w:rsidRPr="00C61B11" w:rsidRDefault="00E73C68" w:rsidP="00E73C68">
                  <w:pPr>
                    <w:spacing w:after="120" w:line="26" w:lineRule="atLeast"/>
                    <w:ind w:hanging="2"/>
                    <w:jc w:val="center"/>
                    <w:rPr>
                      <w:rFonts w:ascii="Arial" w:hAnsi="Arial" w:cs="Arial"/>
                      <w:b/>
                      <w:sz w:val="14"/>
                      <w:szCs w:val="14"/>
                    </w:rPr>
                  </w:pPr>
                  <w:r w:rsidRPr="00C61B11">
                    <w:rPr>
                      <w:rFonts w:ascii="Arial" w:hAnsi="Arial" w:cs="Arial"/>
                      <w:b/>
                      <w:sz w:val="14"/>
                      <w:szCs w:val="14"/>
                    </w:rPr>
                    <w:t>ESTIMADA</w:t>
                  </w:r>
                </w:p>
                <w:p w14:paraId="0F5E79EA" w14:textId="77777777" w:rsidR="00E73C68" w:rsidRPr="00C61B11" w:rsidRDefault="00E73C68" w:rsidP="00E73C68">
                  <w:pPr>
                    <w:spacing w:after="120" w:line="26" w:lineRule="atLeast"/>
                    <w:ind w:hanging="2"/>
                    <w:jc w:val="center"/>
                    <w:rPr>
                      <w:rFonts w:ascii="Arial" w:hAnsi="Arial" w:cs="Arial"/>
                      <w:b/>
                      <w:sz w:val="14"/>
                      <w:szCs w:val="14"/>
                    </w:rPr>
                  </w:pPr>
                  <w:r w:rsidRPr="00C61B11">
                    <w:rPr>
                      <w:rFonts w:ascii="Arial" w:hAnsi="Arial" w:cs="Arial"/>
                      <w:b/>
                      <w:sz w:val="14"/>
                      <w:szCs w:val="14"/>
                    </w:rPr>
                    <w:t>MENSAL</w:t>
                  </w:r>
                </w:p>
              </w:tc>
              <w:tc>
                <w:tcPr>
                  <w:tcW w:w="836" w:type="dxa"/>
                  <w:shd w:val="clear" w:color="auto" w:fill="AAE571"/>
                </w:tcPr>
                <w:p w14:paraId="3677BB95" w14:textId="77777777" w:rsidR="00E73C68" w:rsidRPr="00C61B11" w:rsidRDefault="00E73C68" w:rsidP="00E73C68">
                  <w:pPr>
                    <w:spacing w:after="120" w:line="26" w:lineRule="atLeast"/>
                    <w:ind w:hanging="2"/>
                    <w:jc w:val="center"/>
                    <w:rPr>
                      <w:rFonts w:ascii="Arial" w:hAnsi="Arial" w:cs="Arial"/>
                      <w:b/>
                      <w:sz w:val="14"/>
                      <w:szCs w:val="14"/>
                    </w:rPr>
                  </w:pPr>
                  <w:r w:rsidRPr="00C61B11">
                    <w:rPr>
                      <w:rFonts w:ascii="Arial" w:hAnsi="Arial" w:cs="Arial"/>
                      <w:b/>
                      <w:sz w:val="14"/>
                      <w:szCs w:val="14"/>
                    </w:rPr>
                    <w:t>VALOR MENSAL</w:t>
                  </w:r>
                </w:p>
              </w:tc>
            </w:tr>
            <w:tr w:rsidR="00E73C68" w:rsidRPr="00CE4C8D" w14:paraId="4CF0339C" w14:textId="77777777" w:rsidTr="00C61B11">
              <w:trPr>
                <w:trHeight w:val="3884"/>
                <w:jc w:val="center"/>
              </w:trPr>
              <w:tc>
                <w:tcPr>
                  <w:tcW w:w="598" w:type="dxa"/>
                </w:tcPr>
                <w:p w14:paraId="5CFD502C" w14:textId="77777777" w:rsidR="00E73C68" w:rsidRPr="00C61B11" w:rsidRDefault="00E73C68" w:rsidP="00E73C68">
                  <w:pPr>
                    <w:spacing w:after="120" w:line="26" w:lineRule="atLeast"/>
                    <w:ind w:hanging="2"/>
                    <w:jc w:val="both"/>
                    <w:rPr>
                      <w:rFonts w:ascii="Arial" w:hAnsi="Arial" w:cs="Arial"/>
                      <w:sz w:val="14"/>
                      <w:szCs w:val="14"/>
                    </w:rPr>
                  </w:pPr>
                  <w:r w:rsidRPr="00C61B11">
                    <w:rPr>
                      <w:rFonts w:ascii="Arial" w:hAnsi="Arial" w:cs="Arial"/>
                      <w:sz w:val="14"/>
                      <w:szCs w:val="14"/>
                    </w:rPr>
                    <w:t>01</w:t>
                  </w:r>
                </w:p>
              </w:tc>
              <w:tc>
                <w:tcPr>
                  <w:tcW w:w="2974" w:type="dxa"/>
                  <w:shd w:val="clear" w:color="auto" w:fill="auto"/>
                </w:tcPr>
                <w:p w14:paraId="7CF980B2" w14:textId="77777777" w:rsidR="00E73C68" w:rsidRPr="00C61B11" w:rsidRDefault="00E73C68" w:rsidP="00E73C68">
                  <w:pPr>
                    <w:spacing w:after="120" w:line="26" w:lineRule="atLeast"/>
                    <w:ind w:hanging="2"/>
                    <w:jc w:val="both"/>
                    <w:rPr>
                      <w:rFonts w:ascii="Arial" w:hAnsi="Arial" w:cs="Arial"/>
                      <w:b/>
                      <w:bCs/>
                      <w:sz w:val="14"/>
                      <w:szCs w:val="14"/>
                    </w:rPr>
                  </w:pPr>
                  <w:r w:rsidRPr="00C61B11">
                    <w:rPr>
                      <w:rFonts w:ascii="Arial" w:hAnsi="Arial" w:cs="Arial"/>
                      <w:sz w:val="14"/>
                      <w:szCs w:val="14"/>
                    </w:rPr>
                    <w:t xml:space="preserve"> </w:t>
                  </w:r>
                  <w:r w:rsidRPr="00C61B11">
                    <w:rPr>
                      <w:rFonts w:ascii="Arial" w:hAnsi="Arial" w:cs="Arial"/>
                      <w:b/>
                      <w:bCs/>
                      <w:sz w:val="14"/>
                      <w:szCs w:val="14"/>
                    </w:rPr>
                    <w:t>CREDENCIAMENTO de empresas para prestação de serviço especializado de fornecimento e administração de cartão-alimentação, na forma de cartão magnético/eletrônicos, personalizado e com senha individual, para os servidores da Prefeitura Municipal de Inúbia Paulista, para aquisição de gêneros alimentícios, em estabelecimentos comerciais credenciados, nos termos do art. 79, inciso II, da Lei 14.133/2021, e demais legislações aplicáveis.</w:t>
                  </w:r>
                </w:p>
                <w:p w14:paraId="0ACB2F45" w14:textId="77777777" w:rsidR="00E73C68" w:rsidRPr="00C61B11" w:rsidRDefault="00E73C68" w:rsidP="00E73C68">
                  <w:pPr>
                    <w:spacing w:after="120" w:line="26" w:lineRule="atLeast"/>
                    <w:ind w:hanging="2"/>
                    <w:jc w:val="center"/>
                    <w:rPr>
                      <w:rFonts w:ascii="Arial" w:hAnsi="Arial" w:cs="Arial"/>
                      <w:sz w:val="14"/>
                      <w:szCs w:val="14"/>
                    </w:rPr>
                  </w:pPr>
                </w:p>
              </w:tc>
              <w:tc>
                <w:tcPr>
                  <w:tcW w:w="1278" w:type="dxa"/>
                </w:tcPr>
                <w:p w14:paraId="2FE10E42" w14:textId="77777777" w:rsidR="00E73C68" w:rsidRPr="00C61B11" w:rsidRDefault="00E73C68" w:rsidP="00E73C68">
                  <w:pPr>
                    <w:spacing w:after="120" w:line="26" w:lineRule="atLeast"/>
                    <w:ind w:hanging="2"/>
                    <w:jc w:val="center"/>
                    <w:rPr>
                      <w:rFonts w:ascii="Arial" w:hAnsi="Arial" w:cs="Arial"/>
                      <w:b/>
                      <w:sz w:val="14"/>
                      <w:szCs w:val="14"/>
                    </w:rPr>
                  </w:pPr>
                </w:p>
                <w:p w14:paraId="67ECC98C" w14:textId="77777777" w:rsidR="00E73C68" w:rsidRPr="00C61B11" w:rsidRDefault="00E73C68" w:rsidP="00E73C68">
                  <w:pPr>
                    <w:spacing w:after="120" w:line="26" w:lineRule="atLeast"/>
                    <w:ind w:hanging="2"/>
                    <w:jc w:val="center"/>
                    <w:rPr>
                      <w:rFonts w:ascii="Arial" w:hAnsi="Arial" w:cs="Arial"/>
                      <w:sz w:val="14"/>
                      <w:szCs w:val="14"/>
                    </w:rPr>
                  </w:pPr>
                  <w:r w:rsidRPr="00C61B11">
                    <w:rPr>
                      <w:rFonts w:ascii="Arial" w:hAnsi="Arial" w:cs="Arial"/>
                      <w:sz w:val="14"/>
                      <w:szCs w:val="14"/>
                    </w:rPr>
                    <w:t>VALE ALIMENTAÇÃO</w:t>
                  </w:r>
                </w:p>
              </w:tc>
              <w:tc>
                <w:tcPr>
                  <w:tcW w:w="1134" w:type="dxa"/>
                  <w:shd w:val="clear" w:color="auto" w:fill="auto"/>
                </w:tcPr>
                <w:p w14:paraId="01FCFC52" w14:textId="77777777" w:rsidR="00E73C68" w:rsidRPr="00C61B11" w:rsidRDefault="00E73C68" w:rsidP="00E73C68">
                  <w:pPr>
                    <w:spacing w:after="120" w:line="26" w:lineRule="atLeast"/>
                    <w:ind w:hanging="2"/>
                    <w:jc w:val="center"/>
                    <w:rPr>
                      <w:rFonts w:ascii="Arial" w:hAnsi="Arial" w:cs="Arial"/>
                      <w:sz w:val="14"/>
                      <w:szCs w:val="14"/>
                    </w:rPr>
                  </w:pPr>
                </w:p>
                <w:p w14:paraId="61687DF3" w14:textId="77777777" w:rsidR="00E73C68" w:rsidRPr="00C61B11" w:rsidRDefault="00E73C68" w:rsidP="00E73C68">
                  <w:pPr>
                    <w:spacing w:after="120" w:line="26" w:lineRule="atLeast"/>
                    <w:ind w:hanging="2"/>
                    <w:jc w:val="center"/>
                    <w:rPr>
                      <w:rFonts w:ascii="Arial" w:hAnsi="Arial" w:cs="Arial"/>
                      <w:sz w:val="14"/>
                      <w:szCs w:val="14"/>
                    </w:rPr>
                  </w:pPr>
                  <w:r w:rsidRPr="00C61B11">
                    <w:rPr>
                      <w:rFonts w:ascii="Arial" w:hAnsi="Arial" w:cs="Arial"/>
                      <w:sz w:val="14"/>
                      <w:szCs w:val="14"/>
                    </w:rPr>
                    <w:t>207 funcionários</w:t>
                  </w:r>
                </w:p>
              </w:tc>
              <w:tc>
                <w:tcPr>
                  <w:tcW w:w="836" w:type="dxa"/>
                </w:tcPr>
                <w:p w14:paraId="00B4BAE9" w14:textId="77777777" w:rsidR="00E73C68" w:rsidRPr="00C61B11" w:rsidRDefault="00E73C68" w:rsidP="00E73C68">
                  <w:pPr>
                    <w:spacing w:after="120" w:line="26" w:lineRule="atLeast"/>
                    <w:ind w:hanging="2"/>
                    <w:jc w:val="center"/>
                    <w:rPr>
                      <w:rFonts w:ascii="Arial" w:hAnsi="Arial" w:cs="Arial"/>
                      <w:sz w:val="14"/>
                      <w:szCs w:val="14"/>
                    </w:rPr>
                  </w:pPr>
                </w:p>
                <w:p w14:paraId="307328C7" w14:textId="77777777" w:rsidR="00E73C68" w:rsidRPr="00C61B11" w:rsidRDefault="00E73C68" w:rsidP="00E73C68">
                  <w:pPr>
                    <w:spacing w:after="120" w:line="26" w:lineRule="atLeast"/>
                    <w:ind w:hanging="2"/>
                    <w:jc w:val="center"/>
                    <w:rPr>
                      <w:rFonts w:ascii="Arial" w:hAnsi="Arial" w:cs="Arial"/>
                      <w:sz w:val="14"/>
                      <w:szCs w:val="14"/>
                    </w:rPr>
                  </w:pPr>
                  <w:r w:rsidRPr="00C61B11">
                    <w:rPr>
                      <w:rFonts w:ascii="Arial" w:hAnsi="Arial" w:cs="Arial"/>
                      <w:sz w:val="14"/>
                      <w:szCs w:val="14"/>
                    </w:rPr>
                    <w:t>575,00</w:t>
                  </w:r>
                </w:p>
              </w:tc>
            </w:tr>
            <w:tr w:rsidR="00C61B11" w:rsidRPr="00CE4C8D" w14:paraId="293157E4" w14:textId="77777777" w:rsidTr="00C61B11">
              <w:trPr>
                <w:trHeight w:val="225"/>
                <w:jc w:val="center"/>
              </w:trPr>
              <w:tc>
                <w:tcPr>
                  <w:tcW w:w="6820" w:type="dxa"/>
                  <w:gridSpan w:val="5"/>
                </w:tcPr>
                <w:p w14:paraId="0915ECFD" w14:textId="1736FE7C" w:rsidR="00C61B11" w:rsidRPr="00F227DE" w:rsidRDefault="00C61B11" w:rsidP="00E73C68">
                  <w:pPr>
                    <w:spacing w:after="120" w:line="26" w:lineRule="atLeast"/>
                    <w:ind w:hanging="2"/>
                    <w:jc w:val="center"/>
                    <w:rPr>
                      <w:rFonts w:ascii="Arial" w:hAnsi="Arial" w:cs="Arial"/>
                      <w:sz w:val="15"/>
                      <w:szCs w:val="15"/>
                    </w:rPr>
                  </w:pPr>
                  <w:r w:rsidRPr="00F227DE">
                    <w:rPr>
                      <w:rFonts w:ascii="Arial" w:hAnsi="Arial" w:cs="Arial"/>
                      <w:sz w:val="15"/>
                      <w:szCs w:val="15"/>
                    </w:rPr>
                    <w:t xml:space="preserve">VALOR TOTAL: </w:t>
                  </w:r>
                  <w:r w:rsidRPr="00F227DE">
                    <w:rPr>
                      <w:rFonts w:ascii="Arial" w:hAnsi="Arial" w:cs="Arial"/>
                      <w:sz w:val="15"/>
                      <w:szCs w:val="15"/>
                    </w:rPr>
                    <w:t xml:space="preserve">R$ 1.428.300,00(Um </w:t>
                  </w:r>
                  <w:proofErr w:type="gramStart"/>
                  <w:r w:rsidRPr="00F227DE">
                    <w:rPr>
                      <w:rFonts w:ascii="Arial" w:hAnsi="Arial" w:cs="Arial"/>
                      <w:sz w:val="15"/>
                      <w:szCs w:val="15"/>
                    </w:rPr>
                    <w:t>milhão  e</w:t>
                  </w:r>
                  <w:proofErr w:type="gramEnd"/>
                  <w:r w:rsidRPr="00F227DE">
                    <w:rPr>
                      <w:rFonts w:ascii="Arial" w:hAnsi="Arial" w:cs="Arial"/>
                      <w:sz w:val="15"/>
                      <w:szCs w:val="15"/>
                    </w:rPr>
                    <w:t xml:space="preserve"> quatrocentos e vinte oito mil e trezentos reais ),</w:t>
                  </w:r>
                </w:p>
              </w:tc>
            </w:tr>
          </w:tbl>
          <w:p w14:paraId="0C989867" w14:textId="2C175723" w:rsidR="00F035EC" w:rsidRPr="00702CD9" w:rsidRDefault="00F035EC">
            <w:pPr>
              <w:pStyle w:val="Cabealho"/>
              <w:jc w:val="both"/>
              <w:rPr>
                <w:rFonts w:cs="Times New Roman"/>
                <w:color w:val="FF3333"/>
              </w:rPr>
            </w:pPr>
          </w:p>
        </w:tc>
      </w:tr>
      <w:tr w:rsidR="00B1043F" w:rsidRPr="00702CD9" w14:paraId="2B154703" w14:textId="77777777" w:rsidTr="00E73C68">
        <w:trPr>
          <w:trHeight w:val="231"/>
        </w:trPr>
        <w:tc>
          <w:tcPr>
            <w:tcW w:w="7601" w:type="dxa"/>
            <w:tcBorders>
              <w:left w:val="single" w:sz="2" w:space="0" w:color="CCCCCC"/>
              <w:bottom w:val="single" w:sz="4" w:space="0" w:color="CCCCCC"/>
              <w:right w:val="single" w:sz="2" w:space="0" w:color="CCCCCC"/>
            </w:tcBorders>
            <w:shd w:val="clear" w:color="auto" w:fill="FFFFFF" w:themeFill="background1"/>
            <w:tcMar>
              <w:top w:w="55" w:type="dxa"/>
              <w:left w:w="55" w:type="dxa"/>
              <w:bottom w:w="55" w:type="dxa"/>
              <w:right w:w="55" w:type="dxa"/>
            </w:tcMar>
          </w:tcPr>
          <w:p w14:paraId="645BA6A7" w14:textId="1A6ED9FF" w:rsidR="005B359B" w:rsidRPr="00702CD9" w:rsidRDefault="005B359B">
            <w:pPr>
              <w:pStyle w:val="Cabealho"/>
              <w:jc w:val="both"/>
              <w:rPr>
                <w:rFonts w:cs="Times New Roman"/>
                <w:color w:val="FF3333"/>
              </w:rPr>
            </w:pPr>
          </w:p>
        </w:tc>
      </w:tr>
    </w:tbl>
    <w:p w14:paraId="6A51F89B" w14:textId="77777777" w:rsidR="00B1043F" w:rsidRDefault="00B1043F" w:rsidP="00B1043F">
      <w:pPr>
        <w:rPr>
          <w:rFonts w:cs="Times New Roman"/>
          <w:lang w:eastAsia="zh-CN"/>
        </w:rPr>
      </w:pPr>
    </w:p>
    <w:p w14:paraId="6A417F06" w14:textId="77777777" w:rsidR="009B08A4" w:rsidRDefault="009B08A4" w:rsidP="00B1043F">
      <w:pPr>
        <w:rPr>
          <w:rFonts w:cs="Times New Roman"/>
          <w:lang w:eastAsia="zh-CN"/>
        </w:rPr>
      </w:pPr>
    </w:p>
    <w:p w14:paraId="054E4AE0" w14:textId="77777777" w:rsidR="009B08A4" w:rsidRDefault="009B08A4" w:rsidP="00B1043F">
      <w:pPr>
        <w:rPr>
          <w:rFonts w:cs="Times New Roman"/>
          <w:lang w:eastAsia="zh-CN"/>
        </w:rPr>
      </w:pPr>
    </w:p>
    <w:p w14:paraId="086D3101" w14:textId="77777777" w:rsidR="009B08A4" w:rsidRDefault="009B08A4" w:rsidP="00B1043F">
      <w:pPr>
        <w:rPr>
          <w:rFonts w:cs="Times New Roman"/>
          <w:lang w:eastAsia="zh-CN"/>
        </w:rPr>
      </w:pPr>
    </w:p>
    <w:p w14:paraId="39FFF9D5" w14:textId="77777777" w:rsidR="00E73C68" w:rsidRPr="00702CD9" w:rsidRDefault="00E73C68"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E1C202" w14:textId="77777777" w:rsidR="00F035EC" w:rsidRPr="00F035EC"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color w:val="000000"/>
              </w:rPr>
            </w:pPr>
            <w:r w:rsidRPr="00F035EC">
              <w:rPr>
                <w:rFonts w:cs="Times New Roman"/>
                <w:b/>
                <w:bCs/>
                <w:color w:val="000000"/>
              </w:rPr>
              <w:t>LEVANTAMENTO DE MERCADO</w:t>
            </w:r>
          </w:p>
          <w:p w14:paraId="296C3AD4" w14:textId="0CDE63C3" w:rsidR="00B1043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V do § 1° do art. 18 da Lei 14.133/2021).</w:t>
            </w: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009B08A4">
        <w:trPr>
          <w:trHeight w:val="2162"/>
        </w:trPr>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054699CC" w14:textId="77777777" w:rsidR="00F035EC" w:rsidRPr="00F035EC" w:rsidRDefault="00F035EC" w:rsidP="00F035EC">
            <w:pPr>
              <w:pStyle w:val="Cabealho"/>
              <w:jc w:val="both"/>
              <w:rPr>
                <w:rFonts w:cs="Times New Roman"/>
                <w:iCs/>
                <w:color w:val="000000" w:themeColor="text1"/>
              </w:rPr>
            </w:pPr>
            <w:r w:rsidRPr="00F035EC">
              <w:rPr>
                <w:rFonts w:cs="Times New Roman"/>
                <w:iCs/>
                <w:color w:val="000000" w:themeColor="text1"/>
              </w:rPr>
              <w:t xml:space="preserve">Diante das necessidades apontadas neste estudo, o atendimento à solução exige a contratação de empresa especializada cujo ramo de atividade seja compatível com o objeto pretendido. </w:t>
            </w:r>
          </w:p>
          <w:p w14:paraId="0086EC59" w14:textId="77777777" w:rsidR="00F035EC" w:rsidRPr="00F035EC" w:rsidRDefault="00F035EC" w:rsidP="00F035EC">
            <w:pPr>
              <w:pStyle w:val="Cabealho"/>
              <w:jc w:val="both"/>
              <w:rPr>
                <w:rFonts w:cs="Times New Roman"/>
                <w:iCs/>
                <w:color w:val="000000" w:themeColor="text1"/>
              </w:rPr>
            </w:pPr>
          </w:p>
          <w:p w14:paraId="1804AF26" w14:textId="757FEE13" w:rsidR="00B1043F" w:rsidRPr="00702CD9" w:rsidRDefault="00F035EC" w:rsidP="009B08A4">
            <w:pPr>
              <w:pStyle w:val="Cabealho"/>
              <w:jc w:val="both"/>
              <w:rPr>
                <w:rFonts w:cs="Times New Roman"/>
                <w:b/>
                <w:bCs/>
                <w:color w:val="FF0000"/>
              </w:rPr>
            </w:pPr>
            <w:r w:rsidRPr="00F035EC">
              <w:rPr>
                <w:rFonts w:cs="Times New Roman"/>
                <w:iCs/>
                <w:color w:val="000000" w:themeColor="text1"/>
              </w:rPr>
              <w:t xml:space="preserve">Tais referências foram obtidas por meio de pesquisa de preço </w:t>
            </w:r>
            <w:r w:rsidR="00063665">
              <w:rPr>
                <w:rFonts w:cs="Times New Roman"/>
                <w:iCs/>
                <w:color w:val="000000" w:themeColor="text1"/>
              </w:rPr>
              <w:t xml:space="preserve">de empresas cadastradas em nosso sistema de gestão cujo o ramo e </w:t>
            </w:r>
            <w:r w:rsidR="005B359B">
              <w:rPr>
                <w:rFonts w:cs="Times New Roman"/>
                <w:iCs/>
                <w:color w:val="000000" w:themeColor="text1"/>
              </w:rPr>
              <w:t>preços são</w:t>
            </w:r>
            <w:r w:rsidR="00063665">
              <w:rPr>
                <w:rFonts w:cs="Times New Roman"/>
                <w:iCs/>
                <w:color w:val="000000" w:themeColor="text1"/>
              </w:rPr>
              <w:t xml:space="preserve"> compatíveis com o objeto, </w:t>
            </w:r>
            <w:r w:rsidR="009B08A4">
              <w:rPr>
                <w:rFonts w:cs="Times New Roman"/>
                <w:iCs/>
                <w:color w:val="000000" w:themeColor="text1"/>
              </w:rPr>
              <w:t>conforme anexo no processo.</w:t>
            </w:r>
          </w:p>
        </w:tc>
      </w:tr>
    </w:tbl>
    <w:p w14:paraId="1047C51B" w14:textId="1E498A20" w:rsidR="008A09EF" w:rsidRDefault="008A09EF">
      <w:pPr>
        <w:rPr>
          <w:rFonts w:cs="Times New Roman"/>
          <w:lang w:eastAsia="zh-CN"/>
        </w:rPr>
      </w:pPr>
    </w:p>
    <w:p w14:paraId="0644B7BC" w14:textId="77777777" w:rsidR="00EF4F94" w:rsidRDefault="00EF4F94">
      <w:pPr>
        <w:rPr>
          <w:rFonts w:cs="Times New Roman"/>
          <w:lang w:eastAsia="zh-CN"/>
        </w:rPr>
      </w:pPr>
    </w:p>
    <w:p w14:paraId="2A3EFF4A" w14:textId="77777777" w:rsidR="00BB0256" w:rsidRDefault="00BB0256">
      <w:pPr>
        <w:rPr>
          <w:rFonts w:cs="Times New Roman"/>
          <w:lang w:eastAsia="zh-CN"/>
        </w:rPr>
      </w:pPr>
    </w:p>
    <w:p w14:paraId="6B122178" w14:textId="77777777" w:rsidR="00BB0256" w:rsidRDefault="00BB0256">
      <w:pPr>
        <w:rPr>
          <w:rFonts w:cs="Times New Roman"/>
          <w:lang w:eastAsia="zh-CN"/>
        </w:rPr>
      </w:pPr>
    </w:p>
    <w:p w14:paraId="1E845BAC" w14:textId="77777777" w:rsidR="00BB0256" w:rsidRPr="00702CD9" w:rsidRDefault="00BB0256">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A07D6A0" w14:textId="77777777" w:rsidR="008A09EF"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ESTIMATIVA DO PREÇO DA CONTRATAÇÃO</w:t>
            </w:r>
          </w:p>
          <w:p w14:paraId="65B2B0B2" w14:textId="01CA32A4" w:rsid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63665">
              <w:rPr>
                <w:rFonts w:cs="Times New Roman"/>
                <w:b/>
                <w:bCs/>
              </w:rPr>
              <w:t>(inciso VI do § 1° da Lei 14.133/21).</w:t>
            </w:r>
          </w:p>
          <w:p w14:paraId="2E73F99F" w14:textId="79AE0B24"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459B5B8D" w14:textId="77777777" w:rsidR="008A09EF" w:rsidRPr="00063665"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512F542A" w14:textId="2098B784" w:rsidR="004F5B55" w:rsidRDefault="0006366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lang w:val="pt-PT"/>
        </w:rPr>
      </w:pPr>
      <w:r w:rsidRPr="00063665">
        <w:rPr>
          <w:rFonts w:cs="Times New Roman"/>
          <w:iCs/>
          <w:color w:val="000000" w:themeColor="text1"/>
          <w:lang w:val="pt-PT"/>
        </w:rPr>
        <w:t xml:space="preserve">O valor estimado da </w:t>
      </w:r>
      <w:r w:rsidRPr="00801D41">
        <w:rPr>
          <w:rFonts w:cs="Times New Roman"/>
          <w:iCs/>
          <w:color w:val="000000" w:themeColor="text1"/>
          <w:lang w:val="pt-PT"/>
        </w:rPr>
        <w:t>contratação é de</w:t>
      </w:r>
      <w:r w:rsidR="00801D41" w:rsidRPr="00801D41">
        <w:rPr>
          <w:rFonts w:cs="Times New Roman"/>
        </w:rPr>
        <w:t xml:space="preserve"> </w:t>
      </w:r>
      <w:r w:rsidR="00E73C68" w:rsidRPr="00E73C68">
        <w:rPr>
          <w:rFonts w:cs="Times New Roman"/>
          <w:b/>
        </w:rPr>
        <w:t>R$ 1.428.300,00(Um milhão  e quatrocentos e vinte oito mil e trezentos reais )</w:t>
      </w:r>
      <w:r w:rsidR="00E73C68">
        <w:rPr>
          <w:rFonts w:cs="Times New Roman"/>
          <w:b/>
        </w:rPr>
        <w:t xml:space="preserve">, </w:t>
      </w:r>
      <w:r w:rsidRPr="00063665">
        <w:rPr>
          <w:rFonts w:cs="Times New Roman"/>
          <w:iCs/>
          <w:color w:val="000000" w:themeColor="text1"/>
          <w:lang w:val="pt-PT"/>
        </w:rPr>
        <w:t>com base na pesquisa de preços, estando dentro do valor da dispensa previsto no inciso I</w:t>
      </w:r>
      <w:r w:rsidR="005B359B">
        <w:rPr>
          <w:rFonts w:cs="Times New Roman"/>
          <w:iCs/>
          <w:color w:val="000000" w:themeColor="text1"/>
          <w:lang w:val="pt-PT"/>
        </w:rPr>
        <w:t>I</w:t>
      </w:r>
      <w:r w:rsidRPr="00063665">
        <w:rPr>
          <w:rFonts w:cs="Times New Roman"/>
          <w:iCs/>
          <w:color w:val="000000" w:themeColor="text1"/>
          <w:lang w:val="pt-PT"/>
        </w:rPr>
        <w:t xml:space="preserve"> do art. 75 da Lei 14.133/2021.</w:t>
      </w:r>
    </w:p>
    <w:p w14:paraId="3EE6128D" w14:textId="77777777" w:rsidR="00322F22" w:rsidRPr="00702CD9" w:rsidRDefault="00322F22" w:rsidP="009B08A4">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A095C3" w14:textId="77777777" w:rsidR="004F5B55"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DESCRIÇÃO DA SOLUÇÃO COMO UM TODO</w:t>
            </w:r>
          </w:p>
          <w:p w14:paraId="492330D9" w14:textId="77777777" w:rsidR="00063665" w:rsidRP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063665">
              <w:rPr>
                <w:rFonts w:cs="Times New Roman"/>
                <w:b/>
                <w:bCs/>
              </w:rPr>
              <w:t>(inciso VII do § 1° do art. 18 da Lei 14.133/21 e art. 7°, inciso IV da IN 40/2020).</w:t>
            </w:r>
          </w:p>
          <w:p w14:paraId="1FBCB204" w14:textId="0E2A5001"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3EBE61A7" w14:textId="3E6D4FCE" w:rsidR="00887DEC" w:rsidRPr="00E73C68" w:rsidRDefault="00E73C68" w:rsidP="00887D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r>
        <w:rPr>
          <w:rFonts w:cs="Times New Roman"/>
          <w:b/>
          <w:bCs/>
        </w:rPr>
        <w:t xml:space="preserve">                                </w:t>
      </w:r>
      <w:r w:rsidRPr="00E73C68">
        <w:rPr>
          <w:rFonts w:cs="Times New Roman"/>
          <w:b/>
          <w:bCs/>
        </w:rPr>
        <w:t xml:space="preserve">Ao pensar na solução como um todo, </w:t>
      </w:r>
      <w:r w:rsidRPr="00E73C68">
        <w:rPr>
          <w:rFonts w:cs="Times New Roman"/>
        </w:rPr>
        <w:t>que envolve a contratação de uma empresa especializada por meio de credenciamento, é importante considerar o ciclo de vida do serviço que será prestado. Para isso, os requisitos mínimos exigidos devem garantir que os fornecedores selecionados consigam oferecer um serviço eficaz em todas as etapas, desde a emissão e implantação até a administração, gerenciamento, operação, suporte e encerramento.</w:t>
      </w:r>
    </w:p>
    <w:p w14:paraId="2A611115" w14:textId="77777777" w:rsidR="00826D6F" w:rsidRPr="008C1B92" w:rsidRDefault="00826D6F" w:rsidP="009B08A4">
      <w:pPr>
        <w:widowControl/>
        <w:suppressAutoHyphens w:val="0"/>
        <w:autoSpaceDN/>
        <w:spacing w:before="100" w:beforeAutospacing="1" w:after="100" w:afterAutospacing="1"/>
        <w:jc w:val="both"/>
        <w:textAlignment w:val="auto"/>
        <w:rPr>
          <w:rFonts w:eastAsia="Times New Roman" w:cs="Times New Roman"/>
          <w:kern w:val="0"/>
          <w:lang w:eastAsia="pt-BR" w:bidi="ar-SA"/>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697800" w14:textId="77777777" w:rsidR="00A95A6F"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95A6F">
              <w:rPr>
                <w:rFonts w:cs="Times New Roman"/>
                <w:b/>
                <w:bCs/>
              </w:rPr>
              <w:t>JUSTIFICATIVA PARA PARCELAMENTO</w:t>
            </w:r>
          </w:p>
          <w:p w14:paraId="10E0F394" w14:textId="4C6BA7CB" w:rsidR="00A95A6F" w:rsidRPr="00A95A6F" w:rsidRDefault="00A95A6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95A6F">
              <w:rPr>
                <w:rFonts w:cs="Times New Roman"/>
                <w:b/>
                <w:bCs/>
              </w:rPr>
              <w:t>(inciso VIII do § 1° do art. 18 da Lei 14.133/21 e art. 7°, inciso VII da IN 40/2020).</w:t>
            </w:r>
          </w:p>
          <w:p w14:paraId="06B50515" w14:textId="20ED32E2"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6E7018C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FDC6885" w14:textId="77777777" w:rsidR="00A95A6F" w:rsidRPr="00A95A6F" w:rsidRDefault="00A95A6F" w:rsidP="00322F2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95A6F">
        <w:rPr>
          <w:rFonts w:cs="Times New Roman"/>
          <w:b/>
          <w:bCs/>
          <w:color w:val="000000" w:themeColor="text1"/>
          <w:shd w:val="clear" w:color="auto" w:fill="FFFFFF"/>
        </w:rPr>
        <w:t xml:space="preserve">Em regra, conforme disposições estabelecidas na alínea b, inciso V, do art. 40 da Lei n.º 14.133/21, </w:t>
      </w:r>
      <w:r w:rsidRPr="00A95A6F">
        <w:rPr>
          <w:rFonts w:cs="Times New Roman"/>
          <w:color w:val="000000" w:themeColor="text1"/>
          <w:shd w:val="clear" w:color="auto" w:fill="FFFFFF"/>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A95A6F">
        <w:rPr>
          <w:rFonts w:cs="Times New Roman"/>
          <w:b/>
          <w:bCs/>
          <w:color w:val="000000" w:themeColor="text1"/>
          <w:shd w:val="clear" w:color="auto" w:fill="FFFFFF"/>
        </w:rPr>
        <w:t xml:space="preserve"> </w:t>
      </w:r>
    </w:p>
    <w:p w14:paraId="6A25D053" w14:textId="0BFD5358" w:rsidR="00C34C16" w:rsidRDefault="00A95A6F" w:rsidP="00C34C1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EF4F94">
        <w:rPr>
          <w:rFonts w:cs="Times New Roman"/>
          <w:color w:val="000000" w:themeColor="text1"/>
          <w:shd w:val="clear" w:color="auto" w:fill="FFFFFF"/>
        </w:rPr>
        <w:t xml:space="preserve">Considerando as especificidades do presente objeto a demanda </w:t>
      </w:r>
      <w:r w:rsidR="00E73C68" w:rsidRPr="00713BDE">
        <w:rPr>
          <w:rFonts w:cs="Times New Roman"/>
          <w:b/>
          <w:bCs/>
          <w:color w:val="000000" w:themeColor="text1"/>
          <w:shd w:val="clear" w:color="auto" w:fill="FFFFFF"/>
        </w:rPr>
        <w:t xml:space="preserve">não </w:t>
      </w:r>
      <w:r w:rsidR="00EF4F94" w:rsidRPr="00EF4F94">
        <w:rPr>
          <w:rFonts w:cs="Times New Roman"/>
          <w:b/>
          <w:bCs/>
          <w:color w:val="000000" w:themeColor="text1"/>
          <w:shd w:val="clear" w:color="auto" w:fill="FFFFFF"/>
        </w:rPr>
        <w:t>será parcelada</w:t>
      </w:r>
      <w:r w:rsidR="00C34C16">
        <w:rPr>
          <w:rFonts w:cs="Times New Roman"/>
          <w:b/>
          <w:bCs/>
          <w:color w:val="000000" w:themeColor="text1"/>
          <w:shd w:val="clear" w:color="auto" w:fill="FFFFFF"/>
        </w:rPr>
        <w:t>,</w:t>
      </w:r>
      <w:r w:rsidR="00C34C16" w:rsidRPr="00C34C16">
        <w:rPr>
          <w:rFonts w:cs="Times New Roman"/>
          <w:color w:val="000000" w:themeColor="text1"/>
          <w:shd w:val="clear" w:color="auto" w:fill="FFFFFF"/>
        </w:rPr>
        <w:t xml:space="preserve"> haja visto, sendo viável e vantajosa, por se tratar vários itens e produtos</w:t>
      </w:r>
      <w:r w:rsidR="00C34C16">
        <w:rPr>
          <w:rFonts w:cs="Times New Roman"/>
          <w:color w:val="000000" w:themeColor="text1"/>
          <w:shd w:val="clear" w:color="auto" w:fill="FFFFFF"/>
        </w:rPr>
        <w:t xml:space="preserve"> de alimentação animal</w:t>
      </w:r>
      <w:r w:rsidR="00C34C16" w:rsidRPr="00C34C16">
        <w:rPr>
          <w:rFonts w:cs="Times New Roman"/>
          <w:color w:val="000000" w:themeColor="text1"/>
          <w:shd w:val="clear" w:color="auto" w:fill="FFFFFF"/>
        </w:rPr>
        <w:t>, sendo entregues conforme a necessidade do órgão público.</w:t>
      </w:r>
    </w:p>
    <w:p w14:paraId="43A8CF98" w14:textId="77777777" w:rsidR="00BB0256" w:rsidRDefault="00BB0256" w:rsidP="00C34C1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p>
    <w:p w14:paraId="738EA63F" w14:textId="77777777" w:rsidR="00BB0256" w:rsidRPr="00C34C16" w:rsidRDefault="00BB0256" w:rsidP="00C34C1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p>
    <w:p w14:paraId="1DCF815C" w14:textId="77777777" w:rsidR="005A6242" w:rsidRPr="00702CD9" w:rsidRDefault="005A6242" w:rsidP="00C34C16">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5A794268" w:rsidR="008A09EF" w:rsidRPr="00702CD9"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rPr>
            </w:pPr>
            <w:r w:rsidRPr="00A95A6F">
              <w:rPr>
                <w:rFonts w:cs="Times New Roman"/>
                <w:b/>
                <w:bCs/>
              </w:rPr>
              <w:t>DEMONSTRATIVO DOS RESULTADOS PRETENDIDOS</w:t>
            </w:r>
            <w:r w:rsidRPr="00A95A6F">
              <w:rPr>
                <w:rFonts w:cs="Times New Roman"/>
                <w:szCs w:val="24"/>
              </w:rPr>
              <w:t xml:space="preserve"> </w:t>
            </w:r>
            <w:r w:rsidRPr="00A95A6F">
              <w:rPr>
                <w:rFonts w:cs="Times New Roman"/>
                <w:b/>
                <w:bCs/>
              </w:rPr>
              <w:t>(inciso IX do § 1° do art. 18 da Lei 14.133/21)</w:t>
            </w:r>
          </w:p>
        </w:tc>
      </w:tr>
    </w:tbl>
    <w:p w14:paraId="4BEA9552" w14:textId="77777777"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rPr>
      </w:pPr>
    </w:p>
    <w:p w14:paraId="29FD70B5" w14:textId="31A04993" w:rsidR="00322F22" w:rsidRDefault="00826D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lang w:val="pt-PT"/>
        </w:rPr>
      </w:pPr>
      <w:r w:rsidRPr="00826D6F">
        <w:rPr>
          <w:rFonts w:cs="Times New Roman"/>
          <w:b/>
          <w:bCs/>
          <w:color w:val="000000" w:themeColor="text1"/>
        </w:rPr>
        <w:t>CREDENCIAMENTO de empresas para prestação de serviço especializado de fornecimento e administração de cartão-alimentação</w:t>
      </w:r>
    </w:p>
    <w:p w14:paraId="49E1C4DD" w14:textId="77777777" w:rsidR="00322F22" w:rsidRPr="00A95A6F" w:rsidRDefault="00322F22"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lang w:val="pt-PT"/>
        </w:rPr>
      </w:pPr>
    </w:p>
    <w:tbl>
      <w:tblPr>
        <w:tblStyle w:val="TableNormal"/>
        <w:tblW w:w="4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E07AFA" w:rsidRPr="00B5728C" w14:paraId="5EFDDB1A" w14:textId="77777777" w:rsidTr="00E07AFA">
        <w:trPr>
          <w:trHeight w:val="480"/>
          <w:jc w:val="center"/>
        </w:trPr>
        <w:tc>
          <w:tcPr>
            <w:tcW w:w="4800" w:type="dxa"/>
            <w:shd w:val="clear" w:color="auto" w:fill="D9D9D9"/>
          </w:tcPr>
          <w:p w14:paraId="686978CF" w14:textId="77777777" w:rsidR="00E07AFA" w:rsidRPr="00B5728C" w:rsidRDefault="00E07AFA" w:rsidP="00E07AFA">
            <w:pPr>
              <w:pStyle w:val="TableParagraph"/>
              <w:spacing w:before="118"/>
              <w:ind w:left="37"/>
              <w:jc w:val="center"/>
              <w:rPr>
                <w:rFonts w:ascii="Times New Roman" w:hAnsi="Times New Roman" w:cs="Times New Roman"/>
                <w:b/>
                <w:sz w:val="20"/>
                <w:szCs w:val="20"/>
              </w:rPr>
            </w:pPr>
            <w:r w:rsidRPr="00B5728C">
              <w:rPr>
                <w:rFonts w:ascii="Times New Roman" w:hAnsi="Times New Roman" w:cs="Times New Roman"/>
                <w:b/>
                <w:spacing w:val="-4"/>
                <w:sz w:val="20"/>
                <w:szCs w:val="20"/>
              </w:rPr>
              <w:t>TIPO</w:t>
            </w:r>
          </w:p>
        </w:tc>
      </w:tr>
      <w:tr w:rsidR="00E07AFA" w:rsidRPr="00B5728C" w14:paraId="6B7667F0" w14:textId="77777777" w:rsidTr="00E07AFA">
        <w:trPr>
          <w:trHeight w:val="480"/>
          <w:jc w:val="center"/>
        </w:trPr>
        <w:tc>
          <w:tcPr>
            <w:tcW w:w="4800" w:type="dxa"/>
          </w:tcPr>
          <w:p w14:paraId="4BCB692F" w14:textId="1DF159C3" w:rsidR="00E07AFA" w:rsidRPr="00B5728C" w:rsidRDefault="00E07AFA" w:rsidP="00F55694">
            <w:pPr>
              <w:pStyle w:val="TableParagraph"/>
              <w:spacing w:before="112"/>
              <w:ind w:left="113"/>
              <w:rPr>
                <w:rFonts w:ascii="Times New Roman" w:hAnsi="Times New Roman" w:cs="Times New Roman"/>
                <w:b/>
                <w:bCs/>
                <w:sz w:val="20"/>
                <w:szCs w:val="20"/>
              </w:rPr>
            </w:pPr>
            <w:r w:rsidRPr="00B5728C">
              <w:rPr>
                <w:rFonts w:ascii="Times New Roman" w:hAnsi="Times New Roman" w:cs="Times New Roman"/>
                <w:b/>
                <w:bCs/>
                <w:sz w:val="20"/>
                <w:szCs w:val="20"/>
              </w:rPr>
              <w:t>(X)</w:t>
            </w:r>
            <w:r w:rsidRPr="00B5728C">
              <w:rPr>
                <w:rFonts w:ascii="Times New Roman" w:hAnsi="Times New Roman" w:cs="Times New Roman"/>
                <w:b/>
                <w:bCs/>
                <w:spacing w:val="45"/>
                <w:sz w:val="20"/>
                <w:szCs w:val="20"/>
              </w:rPr>
              <w:t xml:space="preserve"> </w:t>
            </w:r>
            <w:r w:rsidRPr="00B5728C">
              <w:rPr>
                <w:rFonts w:ascii="Times New Roman" w:hAnsi="Times New Roman" w:cs="Times New Roman"/>
                <w:b/>
                <w:bCs/>
                <w:sz w:val="20"/>
                <w:szCs w:val="20"/>
              </w:rPr>
              <w:t>Ganho</w:t>
            </w:r>
            <w:r w:rsidRPr="00B5728C">
              <w:rPr>
                <w:rFonts w:ascii="Times New Roman" w:hAnsi="Times New Roman" w:cs="Times New Roman"/>
                <w:b/>
                <w:bCs/>
                <w:spacing w:val="-2"/>
                <w:sz w:val="20"/>
                <w:szCs w:val="20"/>
              </w:rPr>
              <w:t xml:space="preserve"> </w:t>
            </w:r>
            <w:r w:rsidRPr="00B5728C">
              <w:rPr>
                <w:rFonts w:ascii="Times New Roman" w:hAnsi="Times New Roman" w:cs="Times New Roman"/>
                <w:b/>
                <w:bCs/>
                <w:sz w:val="20"/>
                <w:szCs w:val="20"/>
              </w:rPr>
              <w:t>de</w:t>
            </w:r>
            <w:r w:rsidRPr="00B5728C">
              <w:rPr>
                <w:rFonts w:ascii="Times New Roman" w:hAnsi="Times New Roman" w:cs="Times New Roman"/>
                <w:b/>
                <w:bCs/>
                <w:spacing w:val="-2"/>
                <w:sz w:val="20"/>
                <w:szCs w:val="20"/>
              </w:rPr>
              <w:t xml:space="preserve"> Produtividade</w:t>
            </w:r>
          </w:p>
        </w:tc>
      </w:tr>
      <w:tr w:rsidR="00E07AFA" w:rsidRPr="00B5728C" w14:paraId="1C19BDDF" w14:textId="77777777" w:rsidTr="00E07AFA">
        <w:trPr>
          <w:trHeight w:val="460"/>
          <w:jc w:val="center"/>
        </w:trPr>
        <w:tc>
          <w:tcPr>
            <w:tcW w:w="4800" w:type="dxa"/>
          </w:tcPr>
          <w:p w14:paraId="387E43D2" w14:textId="10AF29EA" w:rsidR="00E07AFA" w:rsidRPr="00B5728C" w:rsidRDefault="00E07AFA" w:rsidP="00F55694">
            <w:pPr>
              <w:pStyle w:val="TableParagraph"/>
              <w:spacing w:before="105"/>
              <w:ind w:left="113"/>
              <w:rPr>
                <w:rFonts w:ascii="Times New Roman" w:hAnsi="Times New Roman" w:cs="Times New Roman"/>
                <w:b/>
                <w:bCs/>
                <w:sz w:val="20"/>
                <w:szCs w:val="20"/>
              </w:rPr>
            </w:pPr>
            <w:r w:rsidRPr="00B5728C">
              <w:rPr>
                <w:rFonts w:ascii="Times New Roman" w:hAnsi="Times New Roman" w:cs="Times New Roman"/>
                <w:b/>
                <w:bCs/>
                <w:sz w:val="20"/>
                <w:szCs w:val="20"/>
              </w:rPr>
              <w:t>(X)</w:t>
            </w:r>
            <w:r w:rsidRPr="00B5728C">
              <w:rPr>
                <w:rFonts w:ascii="Times New Roman" w:hAnsi="Times New Roman" w:cs="Times New Roman"/>
                <w:b/>
                <w:bCs/>
                <w:spacing w:val="-3"/>
                <w:sz w:val="20"/>
                <w:szCs w:val="20"/>
              </w:rPr>
              <w:t xml:space="preserve"> </w:t>
            </w:r>
            <w:r w:rsidRPr="00B5728C">
              <w:rPr>
                <w:rFonts w:ascii="Times New Roman" w:hAnsi="Times New Roman" w:cs="Times New Roman"/>
                <w:b/>
                <w:bCs/>
                <w:sz w:val="20"/>
                <w:szCs w:val="20"/>
              </w:rPr>
              <w:t>Redução</w:t>
            </w:r>
            <w:r w:rsidRPr="00B5728C">
              <w:rPr>
                <w:rFonts w:ascii="Times New Roman" w:hAnsi="Times New Roman" w:cs="Times New Roman"/>
                <w:b/>
                <w:bCs/>
                <w:spacing w:val="-3"/>
                <w:sz w:val="20"/>
                <w:szCs w:val="20"/>
              </w:rPr>
              <w:t xml:space="preserve"> </w:t>
            </w:r>
            <w:r w:rsidRPr="00B5728C">
              <w:rPr>
                <w:rFonts w:ascii="Times New Roman" w:hAnsi="Times New Roman" w:cs="Times New Roman"/>
                <w:b/>
                <w:bCs/>
                <w:sz w:val="20"/>
                <w:szCs w:val="20"/>
              </w:rPr>
              <w:t>de</w:t>
            </w:r>
            <w:r w:rsidRPr="00B5728C">
              <w:rPr>
                <w:rFonts w:ascii="Times New Roman" w:hAnsi="Times New Roman" w:cs="Times New Roman"/>
                <w:b/>
                <w:bCs/>
                <w:spacing w:val="-3"/>
                <w:sz w:val="20"/>
                <w:szCs w:val="20"/>
              </w:rPr>
              <w:t xml:space="preserve"> </w:t>
            </w:r>
            <w:r w:rsidRPr="00B5728C">
              <w:rPr>
                <w:rFonts w:ascii="Times New Roman" w:hAnsi="Times New Roman" w:cs="Times New Roman"/>
                <w:b/>
                <w:bCs/>
                <w:spacing w:val="-2"/>
                <w:sz w:val="20"/>
                <w:szCs w:val="20"/>
              </w:rPr>
              <w:t>esforço</w:t>
            </w:r>
          </w:p>
        </w:tc>
      </w:tr>
      <w:tr w:rsidR="00E07AFA" w:rsidRPr="00B5728C" w14:paraId="623CB11F" w14:textId="77777777" w:rsidTr="00E07AFA">
        <w:trPr>
          <w:trHeight w:val="480"/>
          <w:jc w:val="center"/>
        </w:trPr>
        <w:tc>
          <w:tcPr>
            <w:tcW w:w="4800" w:type="dxa"/>
          </w:tcPr>
          <w:p w14:paraId="2295DEB8" w14:textId="4C5940F1" w:rsidR="00E07AFA" w:rsidRPr="00B5728C" w:rsidRDefault="00E07AFA" w:rsidP="00F55694">
            <w:pPr>
              <w:pStyle w:val="TableParagraph"/>
              <w:spacing w:before="119"/>
              <w:ind w:left="113"/>
              <w:rPr>
                <w:rFonts w:ascii="Times New Roman" w:hAnsi="Times New Roman" w:cs="Times New Roman"/>
                <w:sz w:val="20"/>
                <w:szCs w:val="20"/>
              </w:rPr>
            </w:pPr>
            <w:r w:rsidRPr="00B5728C">
              <w:rPr>
                <w:rFonts w:ascii="Times New Roman" w:hAnsi="Times New Roman" w:cs="Times New Roman"/>
                <w:sz w:val="20"/>
                <w:szCs w:val="20"/>
              </w:rPr>
              <w:t>(</w:t>
            </w:r>
            <w:r w:rsidR="00C34C16" w:rsidRPr="00B5728C">
              <w:rPr>
                <w:rFonts w:ascii="Times New Roman" w:hAnsi="Times New Roman" w:cs="Times New Roman"/>
                <w:spacing w:val="-3"/>
                <w:sz w:val="20"/>
                <w:szCs w:val="20"/>
              </w:rPr>
              <w:t xml:space="preserve">    </w:t>
            </w:r>
            <w:r w:rsidRPr="00B5728C">
              <w:rPr>
                <w:rFonts w:ascii="Times New Roman" w:hAnsi="Times New Roman" w:cs="Times New Roman"/>
                <w:sz w:val="20"/>
                <w:szCs w:val="20"/>
              </w:rPr>
              <w:t>)</w:t>
            </w:r>
            <w:r w:rsidRPr="00B5728C">
              <w:rPr>
                <w:rFonts w:ascii="Times New Roman" w:hAnsi="Times New Roman" w:cs="Times New Roman"/>
                <w:spacing w:val="-3"/>
                <w:sz w:val="20"/>
                <w:szCs w:val="20"/>
              </w:rPr>
              <w:t xml:space="preserve"> </w:t>
            </w:r>
            <w:r w:rsidRPr="00B5728C">
              <w:rPr>
                <w:rFonts w:ascii="Times New Roman" w:hAnsi="Times New Roman" w:cs="Times New Roman"/>
                <w:sz w:val="20"/>
                <w:szCs w:val="20"/>
              </w:rPr>
              <w:t>Redução</w:t>
            </w:r>
            <w:r w:rsidRPr="00B5728C">
              <w:rPr>
                <w:rFonts w:ascii="Times New Roman" w:hAnsi="Times New Roman" w:cs="Times New Roman"/>
                <w:spacing w:val="-3"/>
                <w:sz w:val="20"/>
                <w:szCs w:val="20"/>
              </w:rPr>
              <w:t xml:space="preserve"> </w:t>
            </w:r>
            <w:r w:rsidRPr="00B5728C">
              <w:rPr>
                <w:rFonts w:ascii="Times New Roman" w:hAnsi="Times New Roman" w:cs="Times New Roman"/>
                <w:sz w:val="20"/>
                <w:szCs w:val="20"/>
              </w:rPr>
              <w:t>de</w:t>
            </w:r>
            <w:r w:rsidRPr="00B5728C">
              <w:rPr>
                <w:rFonts w:ascii="Times New Roman" w:hAnsi="Times New Roman" w:cs="Times New Roman"/>
                <w:spacing w:val="-3"/>
                <w:sz w:val="20"/>
                <w:szCs w:val="20"/>
              </w:rPr>
              <w:t xml:space="preserve"> </w:t>
            </w:r>
            <w:r w:rsidRPr="00B5728C">
              <w:rPr>
                <w:rFonts w:ascii="Times New Roman" w:hAnsi="Times New Roman" w:cs="Times New Roman"/>
                <w:spacing w:val="-2"/>
                <w:sz w:val="20"/>
                <w:szCs w:val="20"/>
              </w:rPr>
              <w:t>custo</w:t>
            </w:r>
          </w:p>
        </w:tc>
      </w:tr>
      <w:tr w:rsidR="00E07AFA" w:rsidRPr="00B5728C" w14:paraId="498444FB" w14:textId="77777777" w:rsidTr="00E07AFA">
        <w:trPr>
          <w:trHeight w:val="460"/>
          <w:jc w:val="center"/>
        </w:trPr>
        <w:tc>
          <w:tcPr>
            <w:tcW w:w="4800" w:type="dxa"/>
          </w:tcPr>
          <w:p w14:paraId="5775EC75" w14:textId="54117B33" w:rsidR="00E07AFA" w:rsidRPr="00B5728C" w:rsidRDefault="00686612" w:rsidP="00686612">
            <w:pPr>
              <w:pStyle w:val="TableParagraph"/>
              <w:spacing w:before="104"/>
              <w:ind w:left="0"/>
              <w:rPr>
                <w:rFonts w:ascii="Times New Roman" w:hAnsi="Times New Roman" w:cs="Times New Roman"/>
                <w:sz w:val="20"/>
                <w:szCs w:val="20"/>
              </w:rPr>
            </w:pPr>
            <w:r w:rsidRPr="00B5728C">
              <w:rPr>
                <w:rFonts w:ascii="Times New Roman" w:hAnsi="Times New Roman" w:cs="Times New Roman"/>
                <w:sz w:val="20"/>
                <w:szCs w:val="20"/>
              </w:rPr>
              <w:t xml:space="preserve">  </w:t>
            </w:r>
            <w:r w:rsidR="00FD7A15" w:rsidRPr="00B5728C">
              <w:rPr>
                <w:rFonts w:ascii="Times New Roman" w:hAnsi="Times New Roman" w:cs="Times New Roman"/>
                <w:sz w:val="20"/>
                <w:szCs w:val="20"/>
              </w:rPr>
              <w:t xml:space="preserve"> </w:t>
            </w:r>
            <w:r w:rsidR="00E07AFA" w:rsidRPr="00B5728C">
              <w:rPr>
                <w:rFonts w:ascii="Times New Roman" w:hAnsi="Times New Roman" w:cs="Times New Roman"/>
                <w:sz w:val="20"/>
                <w:szCs w:val="20"/>
              </w:rPr>
              <w:t>(</w:t>
            </w:r>
            <w:r w:rsidR="00E07AFA" w:rsidRPr="00B5728C">
              <w:rPr>
                <w:rFonts w:ascii="Times New Roman" w:hAnsi="Times New Roman" w:cs="Times New Roman"/>
                <w:spacing w:val="-3"/>
                <w:sz w:val="20"/>
                <w:szCs w:val="20"/>
              </w:rPr>
              <w:t xml:space="preserve"> </w:t>
            </w:r>
            <w:r w:rsidRPr="00B5728C">
              <w:rPr>
                <w:rFonts w:ascii="Times New Roman" w:hAnsi="Times New Roman" w:cs="Times New Roman"/>
                <w:spacing w:val="-3"/>
                <w:sz w:val="20"/>
                <w:szCs w:val="20"/>
              </w:rPr>
              <w:t xml:space="preserve"> </w:t>
            </w:r>
            <w:r w:rsidR="00E07AFA" w:rsidRPr="00B5728C">
              <w:rPr>
                <w:rFonts w:ascii="Times New Roman" w:hAnsi="Times New Roman" w:cs="Times New Roman"/>
                <w:sz w:val="20"/>
                <w:szCs w:val="20"/>
              </w:rPr>
              <w:t>)</w:t>
            </w:r>
            <w:r w:rsidR="00E07AFA" w:rsidRPr="00B5728C">
              <w:rPr>
                <w:rFonts w:ascii="Times New Roman" w:hAnsi="Times New Roman" w:cs="Times New Roman"/>
                <w:spacing w:val="-3"/>
                <w:sz w:val="20"/>
                <w:szCs w:val="20"/>
              </w:rPr>
              <w:t xml:space="preserve"> </w:t>
            </w:r>
            <w:r w:rsidR="00E07AFA" w:rsidRPr="00B5728C">
              <w:rPr>
                <w:rFonts w:ascii="Times New Roman" w:hAnsi="Times New Roman" w:cs="Times New Roman"/>
                <w:sz w:val="20"/>
                <w:szCs w:val="20"/>
              </w:rPr>
              <w:t>Redução</w:t>
            </w:r>
            <w:r w:rsidR="00E07AFA" w:rsidRPr="00B5728C">
              <w:rPr>
                <w:rFonts w:ascii="Times New Roman" w:hAnsi="Times New Roman" w:cs="Times New Roman"/>
                <w:spacing w:val="-2"/>
                <w:sz w:val="20"/>
                <w:szCs w:val="20"/>
              </w:rPr>
              <w:t xml:space="preserve"> </w:t>
            </w:r>
            <w:r w:rsidR="00E07AFA" w:rsidRPr="00B5728C">
              <w:rPr>
                <w:rFonts w:ascii="Times New Roman" w:hAnsi="Times New Roman" w:cs="Times New Roman"/>
                <w:sz w:val="20"/>
                <w:szCs w:val="20"/>
              </w:rPr>
              <w:t>de</w:t>
            </w:r>
            <w:r w:rsidR="00E07AFA" w:rsidRPr="00B5728C">
              <w:rPr>
                <w:rFonts w:ascii="Times New Roman" w:hAnsi="Times New Roman" w:cs="Times New Roman"/>
                <w:spacing w:val="-3"/>
                <w:sz w:val="20"/>
                <w:szCs w:val="20"/>
              </w:rPr>
              <w:t xml:space="preserve"> </w:t>
            </w:r>
            <w:r w:rsidR="00E07AFA" w:rsidRPr="00B5728C">
              <w:rPr>
                <w:rFonts w:ascii="Times New Roman" w:hAnsi="Times New Roman" w:cs="Times New Roman"/>
                <w:sz w:val="20"/>
                <w:szCs w:val="20"/>
              </w:rPr>
              <w:t>uso</w:t>
            </w:r>
            <w:r w:rsidR="00E07AFA" w:rsidRPr="00B5728C">
              <w:rPr>
                <w:rFonts w:ascii="Times New Roman" w:hAnsi="Times New Roman" w:cs="Times New Roman"/>
                <w:spacing w:val="-3"/>
                <w:sz w:val="20"/>
                <w:szCs w:val="20"/>
              </w:rPr>
              <w:t xml:space="preserve"> </w:t>
            </w:r>
            <w:r w:rsidR="00E07AFA" w:rsidRPr="00B5728C">
              <w:rPr>
                <w:rFonts w:ascii="Times New Roman" w:hAnsi="Times New Roman" w:cs="Times New Roman"/>
                <w:sz w:val="20"/>
                <w:szCs w:val="20"/>
              </w:rPr>
              <w:t>de</w:t>
            </w:r>
            <w:r w:rsidR="00E07AFA" w:rsidRPr="00B5728C">
              <w:rPr>
                <w:rFonts w:ascii="Times New Roman" w:hAnsi="Times New Roman" w:cs="Times New Roman"/>
                <w:spacing w:val="-2"/>
                <w:sz w:val="20"/>
                <w:szCs w:val="20"/>
              </w:rPr>
              <w:t xml:space="preserve"> recursos</w:t>
            </w:r>
          </w:p>
        </w:tc>
      </w:tr>
      <w:tr w:rsidR="00E07AFA" w:rsidRPr="00B5728C" w14:paraId="1E90F36F" w14:textId="77777777" w:rsidTr="00E07AFA">
        <w:trPr>
          <w:trHeight w:val="520"/>
          <w:jc w:val="center"/>
        </w:trPr>
        <w:tc>
          <w:tcPr>
            <w:tcW w:w="4800" w:type="dxa"/>
          </w:tcPr>
          <w:p w14:paraId="725732AA" w14:textId="0B51CB8F" w:rsidR="00E07AFA" w:rsidRPr="00B5728C" w:rsidRDefault="00E07AFA" w:rsidP="00590B64">
            <w:pPr>
              <w:pStyle w:val="TableParagraph"/>
              <w:spacing w:before="118"/>
              <w:ind w:left="113"/>
              <w:rPr>
                <w:rFonts w:ascii="Times New Roman" w:hAnsi="Times New Roman" w:cs="Times New Roman"/>
                <w:sz w:val="20"/>
                <w:szCs w:val="20"/>
              </w:rPr>
            </w:pPr>
            <w:r w:rsidRPr="00B5728C">
              <w:rPr>
                <w:rFonts w:ascii="Times New Roman" w:hAnsi="Times New Roman" w:cs="Times New Roman"/>
                <w:sz w:val="20"/>
                <w:szCs w:val="20"/>
              </w:rPr>
              <w:t>(</w:t>
            </w:r>
            <w:r w:rsidR="00590B64" w:rsidRPr="00B5728C">
              <w:rPr>
                <w:rFonts w:ascii="Times New Roman" w:hAnsi="Times New Roman" w:cs="Times New Roman"/>
                <w:sz w:val="20"/>
                <w:szCs w:val="20"/>
              </w:rPr>
              <w:t>X</w:t>
            </w:r>
            <w:r w:rsidRPr="00B5728C">
              <w:rPr>
                <w:rFonts w:ascii="Times New Roman" w:hAnsi="Times New Roman" w:cs="Times New Roman"/>
                <w:sz w:val="20"/>
                <w:szCs w:val="20"/>
              </w:rPr>
              <w:t>)</w:t>
            </w:r>
            <w:r w:rsidRPr="00B5728C">
              <w:rPr>
                <w:rFonts w:ascii="Times New Roman" w:hAnsi="Times New Roman" w:cs="Times New Roman"/>
                <w:spacing w:val="-4"/>
                <w:sz w:val="20"/>
                <w:szCs w:val="20"/>
              </w:rPr>
              <w:t xml:space="preserve"> </w:t>
            </w:r>
            <w:r w:rsidRPr="00B5728C">
              <w:rPr>
                <w:rFonts w:ascii="Times New Roman" w:hAnsi="Times New Roman" w:cs="Times New Roman"/>
                <w:sz w:val="20"/>
                <w:szCs w:val="20"/>
              </w:rPr>
              <w:t>Melhoria</w:t>
            </w:r>
            <w:r w:rsidRPr="00B5728C">
              <w:rPr>
                <w:rFonts w:ascii="Times New Roman" w:hAnsi="Times New Roman" w:cs="Times New Roman"/>
                <w:spacing w:val="-4"/>
                <w:sz w:val="20"/>
                <w:szCs w:val="20"/>
              </w:rPr>
              <w:t xml:space="preserve"> </w:t>
            </w:r>
            <w:r w:rsidRPr="00B5728C">
              <w:rPr>
                <w:rFonts w:ascii="Times New Roman" w:hAnsi="Times New Roman" w:cs="Times New Roman"/>
                <w:sz w:val="20"/>
                <w:szCs w:val="20"/>
              </w:rPr>
              <w:t>de</w:t>
            </w:r>
            <w:r w:rsidRPr="00B5728C">
              <w:rPr>
                <w:rFonts w:ascii="Times New Roman" w:hAnsi="Times New Roman" w:cs="Times New Roman"/>
                <w:spacing w:val="-4"/>
                <w:sz w:val="20"/>
                <w:szCs w:val="20"/>
              </w:rPr>
              <w:t xml:space="preserve"> </w:t>
            </w:r>
            <w:r w:rsidRPr="00B5728C">
              <w:rPr>
                <w:rFonts w:ascii="Times New Roman" w:hAnsi="Times New Roman" w:cs="Times New Roman"/>
                <w:spacing w:val="-2"/>
                <w:sz w:val="20"/>
                <w:szCs w:val="20"/>
              </w:rPr>
              <w:t>controle</w:t>
            </w:r>
          </w:p>
        </w:tc>
      </w:tr>
      <w:tr w:rsidR="00E07AFA" w:rsidRPr="00B5728C" w14:paraId="5879DA04" w14:textId="77777777" w:rsidTr="00E07AFA">
        <w:trPr>
          <w:trHeight w:val="480"/>
          <w:jc w:val="center"/>
        </w:trPr>
        <w:tc>
          <w:tcPr>
            <w:tcW w:w="4800" w:type="dxa"/>
          </w:tcPr>
          <w:p w14:paraId="39D7B766" w14:textId="171D2BB4" w:rsidR="00E07AFA" w:rsidRPr="00B5728C" w:rsidRDefault="00E07AFA" w:rsidP="00FD7A15">
            <w:pPr>
              <w:pStyle w:val="TableParagraph"/>
              <w:spacing w:before="120"/>
              <w:ind w:left="113"/>
              <w:rPr>
                <w:rFonts w:ascii="Times New Roman" w:hAnsi="Times New Roman" w:cs="Times New Roman"/>
                <w:sz w:val="20"/>
                <w:szCs w:val="20"/>
              </w:rPr>
            </w:pPr>
            <w:r w:rsidRPr="00B5728C">
              <w:rPr>
                <w:rFonts w:ascii="Times New Roman" w:hAnsi="Times New Roman" w:cs="Times New Roman"/>
                <w:sz w:val="20"/>
                <w:szCs w:val="20"/>
              </w:rPr>
              <w:t>()</w:t>
            </w:r>
            <w:r w:rsidRPr="00B5728C">
              <w:rPr>
                <w:rFonts w:ascii="Times New Roman" w:hAnsi="Times New Roman" w:cs="Times New Roman"/>
                <w:spacing w:val="-3"/>
                <w:sz w:val="20"/>
                <w:szCs w:val="20"/>
              </w:rPr>
              <w:t xml:space="preserve"> </w:t>
            </w:r>
            <w:r w:rsidRPr="00B5728C">
              <w:rPr>
                <w:rFonts w:ascii="Times New Roman" w:hAnsi="Times New Roman" w:cs="Times New Roman"/>
                <w:sz w:val="20"/>
                <w:szCs w:val="20"/>
              </w:rPr>
              <w:t>Redução</w:t>
            </w:r>
            <w:r w:rsidRPr="00B5728C">
              <w:rPr>
                <w:rFonts w:ascii="Times New Roman" w:hAnsi="Times New Roman" w:cs="Times New Roman"/>
                <w:spacing w:val="-3"/>
                <w:sz w:val="20"/>
                <w:szCs w:val="20"/>
              </w:rPr>
              <w:t xml:space="preserve"> </w:t>
            </w:r>
            <w:r w:rsidRPr="00B5728C">
              <w:rPr>
                <w:rFonts w:ascii="Times New Roman" w:hAnsi="Times New Roman" w:cs="Times New Roman"/>
                <w:sz w:val="20"/>
                <w:szCs w:val="20"/>
              </w:rPr>
              <w:t>de</w:t>
            </w:r>
            <w:r w:rsidRPr="00B5728C">
              <w:rPr>
                <w:rFonts w:ascii="Times New Roman" w:hAnsi="Times New Roman" w:cs="Times New Roman"/>
                <w:spacing w:val="-3"/>
                <w:sz w:val="20"/>
                <w:szCs w:val="20"/>
              </w:rPr>
              <w:t xml:space="preserve"> </w:t>
            </w:r>
            <w:r w:rsidRPr="00B5728C">
              <w:rPr>
                <w:rFonts w:ascii="Times New Roman" w:hAnsi="Times New Roman" w:cs="Times New Roman"/>
                <w:spacing w:val="-2"/>
                <w:sz w:val="20"/>
                <w:szCs w:val="20"/>
              </w:rPr>
              <w:t>Riscos</w:t>
            </w:r>
          </w:p>
        </w:tc>
      </w:tr>
      <w:tr w:rsidR="00E07AFA" w:rsidRPr="00B5728C" w14:paraId="47437293" w14:textId="77777777" w:rsidTr="00E07AFA">
        <w:trPr>
          <w:trHeight w:val="480"/>
          <w:jc w:val="center"/>
        </w:trPr>
        <w:tc>
          <w:tcPr>
            <w:tcW w:w="4800" w:type="dxa"/>
          </w:tcPr>
          <w:p w14:paraId="55ADAB96" w14:textId="55225D2D" w:rsidR="00E07AFA" w:rsidRPr="00B5728C" w:rsidRDefault="00E07AFA" w:rsidP="00887DEC">
            <w:pPr>
              <w:pStyle w:val="TableParagraph"/>
              <w:spacing w:before="114"/>
              <w:ind w:left="113"/>
              <w:rPr>
                <w:rFonts w:ascii="Times New Roman" w:hAnsi="Times New Roman" w:cs="Times New Roman"/>
                <w:b/>
                <w:bCs/>
                <w:sz w:val="20"/>
                <w:szCs w:val="20"/>
              </w:rPr>
            </w:pPr>
            <w:r w:rsidRPr="00B5728C">
              <w:rPr>
                <w:rFonts w:ascii="Times New Roman" w:hAnsi="Times New Roman" w:cs="Times New Roman"/>
                <w:b/>
                <w:bCs/>
                <w:sz w:val="20"/>
                <w:szCs w:val="20"/>
              </w:rPr>
              <w:t>(</w:t>
            </w:r>
            <w:r w:rsidR="00C34C16" w:rsidRPr="00B5728C">
              <w:rPr>
                <w:rFonts w:ascii="Times New Roman" w:hAnsi="Times New Roman" w:cs="Times New Roman"/>
                <w:b/>
                <w:bCs/>
                <w:spacing w:val="-6"/>
                <w:sz w:val="20"/>
                <w:szCs w:val="20"/>
              </w:rPr>
              <w:t xml:space="preserve"> </w:t>
            </w:r>
            <w:r w:rsidR="00826D6F" w:rsidRPr="00B5728C">
              <w:rPr>
                <w:rFonts w:ascii="Times New Roman" w:hAnsi="Times New Roman" w:cs="Times New Roman"/>
                <w:b/>
                <w:bCs/>
                <w:spacing w:val="-6"/>
                <w:sz w:val="20"/>
                <w:szCs w:val="20"/>
              </w:rPr>
              <w:t>x</w:t>
            </w:r>
            <w:r w:rsidR="00C34C16" w:rsidRPr="00B5728C">
              <w:rPr>
                <w:rFonts w:ascii="Times New Roman" w:hAnsi="Times New Roman" w:cs="Times New Roman"/>
                <w:b/>
                <w:bCs/>
                <w:spacing w:val="-6"/>
                <w:sz w:val="20"/>
                <w:szCs w:val="20"/>
              </w:rPr>
              <w:t xml:space="preserve">  </w:t>
            </w:r>
            <w:r w:rsidRPr="00B5728C">
              <w:rPr>
                <w:rFonts w:ascii="Times New Roman" w:hAnsi="Times New Roman" w:cs="Times New Roman"/>
                <w:b/>
                <w:bCs/>
                <w:sz w:val="20"/>
                <w:szCs w:val="20"/>
              </w:rPr>
              <w:t>)</w:t>
            </w:r>
            <w:r w:rsidRPr="00B5728C">
              <w:rPr>
                <w:rFonts w:ascii="Times New Roman" w:hAnsi="Times New Roman" w:cs="Times New Roman"/>
                <w:b/>
                <w:bCs/>
                <w:spacing w:val="-6"/>
                <w:sz w:val="20"/>
                <w:szCs w:val="20"/>
              </w:rPr>
              <w:t xml:space="preserve"> </w:t>
            </w:r>
            <w:r w:rsidRPr="00B5728C">
              <w:rPr>
                <w:rFonts w:ascii="Times New Roman" w:hAnsi="Times New Roman" w:cs="Times New Roman"/>
                <w:b/>
                <w:bCs/>
                <w:sz w:val="20"/>
                <w:szCs w:val="20"/>
              </w:rPr>
              <w:t>Cumprimento</w:t>
            </w:r>
            <w:r w:rsidRPr="00B5728C">
              <w:rPr>
                <w:rFonts w:ascii="Times New Roman" w:hAnsi="Times New Roman" w:cs="Times New Roman"/>
                <w:b/>
                <w:bCs/>
                <w:spacing w:val="-6"/>
                <w:sz w:val="20"/>
                <w:szCs w:val="20"/>
              </w:rPr>
              <w:t xml:space="preserve"> </w:t>
            </w:r>
            <w:r w:rsidRPr="00B5728C">
              <w:rPr>
                <w:rFonts w:ascii="Times New Roman" w:hAnsi="Times New Roman" w:cs="Times New Roman"/>
                <w:b/>
                <w:bCs/>
                <w:sz w:val="20"/>
                <w:szCs w:val="20"/>
              </w:rPr>
              <w:t>de</w:t>
            </w:r>
            <w:r w:rsidRPr="00B5728C">
              <w:rPr>
                <w:rFonts w:ascii="Times New Roman" w:hAnsi="Times New Roman" w:cs="Times New Roman"/>
                <w:b/>
                <w:bCs/>
                <w:spacing w:val="-6"/>
                <w:sz w:val="20"/>
                <w:szCs w:val="20"/>
              </w:rPr>
              <w:t xml:space="preserve"> </w:t>
            </w:r>
            <w:r w:rsidRPr="00B5728C">
              <w:rPr>
                <w:rFonts w:ascii="Times New Roman" w:hAnsi="Times New Roman" w:cs="Times New Roman"/>
                <w:b/>
                <w:bCs/>
                <w:sz w:val="20"/>
                <w:szCs w:val="20"/>
              </w:rPr>
              <w:t>determinação</w:t>
            </w:r>
            <w:r w:rsidRPr="00B5728C">
              <w:rPr>
                <w:rFonts w:ascii="Times New Roman" w:hAnsi="Times New Roman" w:cs="Times New Roman"/>
                <w:b/>
                <w:bCs/>
                <w:spacing w:val="-6"/>
                <w:sz w:val="20"/>
                <w:szCs w:val="20"/>
              </w:rPr>
              <w:t xml:space="preserve"> </w:t>
            </w:r>
            <w:r w:rsidR="00887DEC" w:rsidRPr="00B5728C">
              <w:rPr>
                <w:rFonts w:ascii="Times New Roman" w:hAnsi="Times New Roman" w:cs="Times New Roman"/>
                <w:b/>
                <w:bCs/>
                <w:spacing w:val="-2"/>
                <w:sz w:val="20"/>
                <w:szCs w:val="20"/>
              </w:rPr>
              <w:t>legal</w:t>
            </w:r>
          </w:p>
        </w:tc>
      </w:tr>
      <w:tr w:rsidR="00E07AFA" w:rsidRPr="00B5728C" w14:paraId="5D7B7BE0" w14:textId="77777777" w:rsidTr="00E07AFA">
        <w:trPr>
          <w:trHeight w:val="460"/>
          <w:jc w:val="center"/>
        </w:trPr>
        <w:tc>
          <w:tcPr>
            <w:tcW w:w="4800" w:type="dxa"/>
          </w:tcPr>
          <w:p w14:paraId="018F5F1B" w14:textId="77777777" w:rsidR="00E07AFA" w:rsidRPr="00B5728C" w:rsidRDefault="00E07AFA" w:rsidP="00F55694">
            <w:pPr>
              <w:pStyle w:val="TableParagraph"/>
              <w:spacing w:before="107"/>
              <w:ind w:left="113"/>
              <w:rPr>
                <w:rFonts w:ascii="Times New Roman" w:hAnsi="Times New Roman" w:cs="Times New Roman"/>
                <w:sz w:val="20"/>
                <w:szCs w:val="20"/>
              </w:rPr>
            </w:pPr>
            <w:r w:rsidRPr="00B5728C">
              <w:rPr>
                <w:rFonts w:ascii="Times New Roman" w:hAnsi="Times New Roman" w:cs="Times New Roman"/>
                <w:sz w:val="20"/>
                <w:szCs w:val="20"/>
              </w:rPr>
              <w:lastRenderedPageBreak/>
              <w:t>(</w:t>
            </w:r>
            <w:r w:rsidRPr="00B5728C">
              <w:rPr>
                <w:rFonts w:ascii="Times New Roman" w:hAnsi="Times New Roman" w:cs="Times New Roman"/>
                <w:spacing w:val="36"/>
                <w:sz w:val="20"/>
                <w:szCs w:val="20"/>
              </w:rPr>
              <w:t xml:space="preserve"> </w:t>
            </w:r>
            <w:r w:rsidRPr="00B5728C">
              <w:rPr>
                <w:rFonts w:ascii="Times New Roman" w:hAnsi="Times New Roman" w:cs="Times New Roman"/>
                <w:sz w:val="20"/>
                <w:szCs w:val="20"/>
              </w:rPr>
              <w:t>)</w:t>
            </w:r>
            <w:r w:rsidRPr="00B5728C">
              <w:rPr>
                <w:rFonts w:ascii="Times New Roman" w:hAnsi="Times New Roman" w:cs="Times New Roman"/>
                <w:spacing w:val="-6"/>
                <w:sz w:val="20"/>
                <w:szCs w:val="20"/>
              </w:rPr>
              <w:t xml:space="preserve"> </w:t>
            </w:r>
            <w:r w:rsidRPr="00B5728C">
              <w:rPr>
                <w:rFonts w:ascii="Times New Roman" w:hAnsi="Times New Roman" w:cs="Times New Roman"/>
                <w:sz w:val="20"/>
                <w:szCs w:val="20"/>
              </w:rPr>
              <w:t>Melhoria/adequação</w:t>
            </w:r>
            <w:r w:rsidRPr="00B5728C">
              <w:rPr>
                <w:rFonts w:ascii="Times New Roman" w:hAnsi="Times New Roman" w:cs="Times New Roman"/>
                <w:spacing w:val="-6"/>
                <w:sz w:val="20"/>
                <w:szCs w:val="20"/>
              </w:rPr>
              <w:t xml:space="preserve"> </w:t>
            </w:r>
            <w:r w:rsidRPr="00B5728C">
              <w:rPr>
                <w:rFonts w:ascii="Times New Roman" w:hAnsi="Times New Roman" w:cs="Times New Roman"/>
                <w:sz w:val="20"/>
                <w:szCs w:val="20"/>
              </w:rPr>
              <w:t>nas</w:t>
            </w:r>
            <w:r w:rsidRPr="00B5728C">
              <w:rPr>
                <w:rFonts w:ascii="Times New Roman" w:hAnsi="Times New Roman" w:cs="Times New Roman"/>
                <w:spacing w:val="-7"/>
                <w:sz w:val="20"/>
                <w:szCs w:val="20"/>
              </w:rPr>
              <w:t xml:space="preserve"> </w:t>
            </w:r>
            <w:r w:rsidRPr="00B5728C">
              <w:rPr>
                <w:rFonts w:ascii="Times New Roman" w:hAnsi="Times New Roman" w:cs="Times New Roman"/>
                <w:sz w:val="20"/>
                <w:szCs w:val="20"/>
              </w:rPr>
              <w:t>instalações</w:t>
            </w:r>
            <w:r w:rsidRPr="00B5728C">
              <w:rPr>
                <w:rFonts w:ascii="Times New Roman" w:hAnsi="Times New Roman" w:cs="Times New Roman"/>
                <w:spacing w:val="-6"/>
                <w:sz w:val="20"/>
                <w:szCs w:val="20"/>
              </w:rPr>
              <w:t xml:space="preserve"> </w:t>
            </w:r>
            <w:r w:rsidRPr="00B5728C">
              <w:rPr>
                <w:rFonts w:ascii="Times New Roman" w:hAnsi="Times New Roman" w:cs="Times New Roman"/>
                <w:spacing w:val="-2"/>
                <w:sz w:val="20"/>
                <w:szCs w:val="20"/>
              </w:rPr>
              <w:t>físicas</w:t>
            </w:r>
          </w:p>
        </w:tc>
      </w:tr>
    </w:tbl>
    <w:p w14:paraId="65430724" w14:textId="77777777" w:rsidR="00A95A6F" w:rsidRP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426" w:firstLine="596"/>
        <w:rPr>
          <w:rFonts w:cs="Times New Roman"/>
          <w:color w:val="000000" w:themeColor="text1"/>
        </w:rPr>
      </w:pPr>
    </w:p>
    <w:p w14:paraId="3D235231" w14:textId="77777777" w:rsidR="00BB0256" w:rsidRDefault="00BB0256" w:rsidP="00826D6F">
      <w:pPr>
        <w:pStyle w:val="Standard"/>
        <w:tabs>
          <w:tab w:val="left" w:pos="725"/>
          <w:tab w:val="left" w:pos="1010"/>
          <w:tab w:val="left" w:pos="1310"/>
          <w:tab w:val="left" w:pos="1565"/>
          <w:tab w:val="left" w:pos="1820"/>
          <w:tab w:val="left" w:pos="2135"/>
          <w:tab w:val="left" w:pos="2390"/>
          <w:tab w:val="left" w:leader="underscore" w:pos="7506"/>
        </w:tabs>
        <w:spacing w:before="57" w:after="57"/>
      </w:pPr>
    </w:p>
    <w:p w14:paraId="32F55507" w14:textId="77777777" w:rsidR="00BB0256" w:rsidRDefault="00BB0256" w:rsidP="00826D6F">
      <w:pPr>
        <w:pStyle w:val="Standard"/>
        <w:tabs>
          <w:tab w:val="left" w:pos="725"/>
          <w:tab w:val="left" w:pos="1010"/>
          <w:tab w:val="left" w:pos="1310"/>
          <w:tab w:val="left" w:pos="1565"/>
          <w:tab w:val="left" w:pos="1820"/>
          <w:tab w:val="left" w:pos="2135"/>
          <w:tab w:val="left" w:pos="2390"/>
          <w:tab w:val="left" w:leader="underscore" w:pos="7506"/>
        </w:tabs>
        <w:spacing w:before="57" w:after="57"/>
      </w:pPr>
    </w:p>
    <w:p w14:paraId="44B8DACE" w14:textId="0F14FB32" w:rsidR="00250568" w:rsidRPr="00826D6F" w:rsidRDefault="00887DEC" w:rsidP="00826D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lang w:val="pt-PT"/>
        </w:rPr>
      </w:pPr>
      <w:r w:rsidRPr="009B22AE">
        <w:t xml:space="preserve">A </w:t>
      </w:r>
      <w:r w:rsidR="00826D6F" w:rsidRPr="00826D6F">
        <w:rPr>
          <w:rFonts w:cs="Times New Roman"/>
          <w:b/>
          <w:bCs/>
          <w:color w:val="000000" w:themeColor="text1"/>
        </w:rPr>
        <w:t>fornecimento e administração de cartão-alimentação</w:t>
      </w:r>
      <w:r w:rsidR="009B22AE" w:rsidRPr="009B22AE">
        <w:rPr>
          <w:color w:val="000000"/>
          <w:lang w:eastAsia="pt-BR"/>
        </w:rPr>
        <w:t xml:space="preserve"> </w:t>
      </w:r>
      <w:r w:rsidRPr="009B22AE">
        <w:t>visa alcançar os seguintes resultados:</w:t>
      </w:r>
    </w:p>
    <w:p w14:paraId="2EF84A99" w14:textId="5D0E93B5" w:rsidR="00337E64" w:rsidRPr="00702CD9" w:rsidRDefault="00337E64" w:rsidP="00EE0DA6">
      <w:pPr>
        <w:pStyle w:val="Standard"/>
        <w:tabs>
          <w:tab w:val="left" w:pos="725"/>
          <w:tab w:val="left" w:pos="1010"/>
          <w:tab w:val="left" w:pos="1310"/>
          <w:tab w:val="left" w:pos="1565"/>
          <w:tab w:val="left" w:pos="1820"/>
          <w:tab w:val="left" w:pos="2135"/>
          <w:tab w:val="left" w:pos="2390"/>
          <w:tab w:val="left" w:leader="underscore" w:pos="750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BD319F" w14:textId="44C4895A" w:rsidR="00E07AFA" w:rsidRPr="00E07AFA" w:rsidRDefault="00E07AFA" w:rsidP="00E07AF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E07AFA">
              <w:rPr>
                <w:rFonts w:cs="Times New Roman"/>
                <w:b/>
                <w:bCs/>
              </w:rPr>
              <w:t>PROVIDÊNCIAS PRÉVIAS AO CONTRATO</w:t>
            </w:r>
            <w:r w:rsidRPr="00E07AFA">
              <w:rPr>
                <w:rFonts w:eastAsia="Times New Roman" w:cs="Times New Roman"/>
                <w:color w:val="000000"/>
                <w:kern w:val="0"/>
                <w:lang w:eastAsia="pt-BR" w:bidi="ar-SA"/>
              </w:rPr>
              <w:t xml:space="preserve"> </w:t>
            </w:r>
            <w:r w:rsidRPr="00E07AFA">
              <w:rPr>
                <w:rFonts w:cs="Times New Roman"/>
                <w:b/>
                <w:bCs/>
              </w:rPr>
              <w:t>(inciso X do § 1° do art. 18 da Lei 14.133/21).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460A2D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46C2D740" w14:textId="0E787C54" w:rsidR="00E07AFA" w:rsidRDefault="00E07AFA" w:rsidP="00FD7A15">
      <w:pPr>
        <w:tabs>
          <w:tab w:val="left" w:pos="856"/>
        </w:tabs>
        <w:suppressAutoHyphens w:val="0"/>
        <w:autoSpaceDE w:val="0"/>
        <w:spacing w:before="121"/>
        <w:ind w:right="-2"/>
        <w:jc w:val="both"/>
        <w:textAlignment w:val="auto"/>
      </w:pPr>
      <w:r>
        <w:t>Não se verifica a necessidade de providências específicas a serem adotadas pela Administração previamente à celebração do contrato, nem quanto à</w:t>
      </w:r>
      <w:r w:rsidRPr="00E07AFA">
        <w:rPr>
          <w:spacing w:val="-6"/>
        </w:rPr>
        <w:t xml:space="preserve"> </w:t>
      </w:r>
      <w:r>
        <w:t>capacitação</w:t>
      </w:r>
      <w:r w:rsidRPr="00E07AFA">
        <w:rPr>
          <w:spacing w:val="-6"/>
        </w:rPr>
        <w:t xml:space="preserve"> </w:t>
      </w:r>
      <w:r>
        <w:t>de</w:t>
      </w:r>
      <w:r w:rsidRPr="00E07AFA">
        <w:rPr>
          <w:spacing w:val="-6"/>
        </w:rPr>
        <w:t xml:space="preserve"> </w:t>
      </w:r>
      <w:r>
        <w:t>servidores</w:t>
      </w:r>
      <w:r w:rsidRPr="00E07AFA">
        <w:rPr>
          <w:spacing w:val="-7"/>
        </w:rPr>
        <w:t xml:space="preserve"> </w:t>
      </w:r>
      <w:r>
        <w:t>ou</w:t>
      </w:r>
      <w:r w:rsidRPr="00E07AFA">
        <w:rPr>
          <w:spacing w:val="-6"/>
        </w:rPr>
        <w:t xml:space="preserve"> </w:t>
      </w:r>
      <w:r>
        <w:t>de</w:t>
      </w:r>
      <w:r w:rsidRPr="00E07AFA">
        <w:rPr>
          <w:spacing w:val="-6"/>
        </w:rPr>
        <w:t xml:space="preserve"> </w:t>
      </w:r>
      <w:r>
        <w:t>empregados</w:t>
      </w:r>
      <w:r w:rsidRPr="00E07AFA">
        <w:rPr>
          <w:spacing w:val="-6"/>
        </w:rPr>
        <w:t xml:space="preserve"> </w:t>
      </w:r>
      <w:r>
        <w:t>para fiscalização e gestão contratual ou adequação do ambiente da organização.</w:t>
      </w:r>
    </w:p>
    <w:p w14:paraId="3F466C18" w14:textId="77777777" w:rsidR="00FD7A15" w:rsidRDefault="00FD7A15" w:rsidP="00FD7A15">
      <w:pPr>
        <w:tabs>
          <w:tab w:val="left" w:pos="856"/>
        </w:tabs>
        <w:suppressAutoHyphens w:val="0"/>
        <w:autoSpaceDE w:val="0"/>
        <w:spacing w:before="121"/>
        <w:ind w:right="-2"/>
        <w:jc w:val="both"/>
        <w:textAlignment w:val="auto"/>
        <w:rPr>
          <w:color w:val="00000A"/>
        </w:rPr>
      </w:pPr>
    </w:p>
    <w:p w14:paraId="3BC89F1F" w14:textId="77777777" w:rsidR="00E07AFA" w:rsidRDefault="00E07AFA" w:rsidP="00E07AFA">
      <w:pPr>
        <w:pStyle w:val="Corpodetexto"/>
        <w:spacing w:before="10"/>
        <w:rPr>
          <w:sz w:val="8"/>
        </w:rPr>
      </w:pPr>
    </w:p>
    <w:tbl>
      <w:tblPr>
        <w:tblStyle w:val="TableNormal"/>
        <w:tblW w:w="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tblGrid>
      <w:tr w:rsidR="00E07AFA" w14:paraId="7F36838C" w14:textId="77777777" w:rsidTr="00E07AFA">
        <w:trPr>
          <w:trHeight w:val="480"/>
          <w:jc w:val="center"/>
        </w:trPr>
        <w:tc>
          <w:tcPr>
            <w:tcW w:w="3320" w:type="dxa"/>
            <w:shd w:val="clear" w:color="auto" w:fill="D9D9D9"/>
          </w:tcPr>
          <w:p w14:paraId="1A8D3F2E" w14:textId="77777777" w:rsidR="00E07AFA" w:rsidRDefault="00E07AFA" w:rsidP="00F55694">
            <w:pPr>
              <w:pStyle w:val="TableParagraph"/>
              <w:spacing w:before="111"/>
              <w:ind w:left="22"/>
              <w:jc w:val="center"/>
              <w:rPr>
                <w:b/>
              </w:rPr>
            </w:pPr>
            <w:r>
              <w:rPr>
                <w:b/>
                <w:spacing w:val="-4"/>
              </w:rPr>
              <w:t>TIPO</w:t>
            </w:r>
          </w:p>
        </w:tc>
      </w:tr>
      <w:tr w:rsidR="00E07AFA" w14:paraId="2EC7ED99" w14:textId="77777777" w:rsidTr="00E07AFA">
        <w:trPr>
          <w:trHeight w:val="740"/>
          <w:jc w:val="center"/>
        </w:trPr>
        <w:tc>
          <w:tcPr>
            <w:tcW w:w="3320" w:type="dxa"/>
          </w:tcPr>
          <w:p w14:paraId="69619E33" w14:textId="77777777" w:rsidR="00E07AFA" w:rsidRDefault="00E07AFA" w:rsidP="00F55694">
            <w:pPr>
              <w:pStyle w:val="TableParagraph"/>
              <w:spacing w:before="105"/>
            </w:pPr>
            <w:r>
              <w:t>(</w:t>
            </w:r>
            <w:r>
              <w:rPr>
                <w:spacing w:val="-8"/>
              </w:rPr>
              <w:t xml:space="preserve"> </w:t>
            </w:r>
            <w:r>
              <w:t>)</w:t>
            </w:r>
            <w:r>
              <w:rPr>
                <w:spacing w:val="35"/>
              </w:rPr>
              <w:t xml:space="preserve"> </w:t>
            </w:r>
            <w:r>
              <w:t>Necessidade</w:t>
            </w:r>
            <w:r>
              <w:rPr>
                <w:spacing w:val="-8"/>
              </w:rPr>
              <w:t xml:space="preserve"> </w:t>
            </w:r>
            <w:r>
              <w:t>de</w:t>
            </w:r>
            <w:r>
              <w:rPr>
                <w:spacing w:val="-8"/>
              </w:rPr>
              <w:t xml:space="preserve"> </w:t>
            </w:r>
            <w:r>
              <w:t>capacitação</w:t>
            </w:r>
            <w:r>
              <w:rPr>
                <w:spacing w:val="-8"/>
              </w:rPr>
              <w:t xml:space="preserve"> </w:t>
            </w:r>
            <w:r>
              <w:t>de gestores e fiscais da contratação</w:t>
            </w:r>
          </w:p>
        </w:tc>
      </w:tr>
      <w:tr w:rsidR="00E07AFA" w14:paraId="422B1C08" w14:textId="77777777" w:rsidTr="00E07AFA">
        <w:trPr>
          <w:trHeight w:val="460"/>
          <w:jc w:val="center"/>
        </w:trPr>
        <w:tc>
          <w:tcPr>
            <w:tcW w:w="3320" w:type="dxa"/>
          </w:tcPr>
          <w:p w14:paraId="46F2C0A7" w14:textId="77777777" w:rsidR="00E07AFA" w:rsidRDefault="00E07AFA" w:rsidP="00F55694">
            <w:pPr>
              <w:pStyle w:val="TableParagraph"/>
              <w:spacing w:before="107"/>
            </w:pPr>
            <w:r>
              <w:t>(</w:t>
            </w:r>
            <w:r>
              <w:rPr>
                <w:spacing w:val="-5"/>
              </w:rPr>
              <w:t xml:space="preserve"> </w:t>
            </w:r>
            <w:r>
              <w:t>)</w:t>
            </w:r>
            <w:r>
              <w:rPr>
                <w:spacing w:val="41"/>
              </w:rPr>
              <w:t xml:space="preserve"> </w:t>
            </w:r>
            <w:r>
              <w:t>Instalação</w:t>
            </w:r>
            <w:r>
              <w:rPr>
                <w:spacing w:val="-4"/>
              </w:rPr>
              <w:t xml:space="preserve"> </w:t>
            </w:r>
            <w:r>
              <w:rPr>
                <w:spacing w:val="-2"/>
              </w:rPr>
              <w:t>elétrica</w:t>
            </w:r>
          </w:p>
        </w:tc>
      </w:tr>
      <w:tr w:rsidR="00E07AFA" w14:paraId="750E38A8" w14:textId="77777777" w:rsidTr="00E07AFA">
        <w:trPr>
          <w:trHeight w:val="480"/>
          <w:jc w:val="center"/>
        </w:trPr>
        <w:tc>
          <w:tcPr>
            <w:tcW w:w="3320" w:type="dxa"/>
          </w:tcPr>
          <w:p w14:paraId="0ADF27BD" w14:textId="77777777" w:rsidR="00E07AFA" w:rsidRDefault="00E07AFA" w:rsidP="00F55694">
            <w:pPr>
              <w:pStyle w:val="TableParagraph"/>
              <w:spacing w:before="120"/>
            </w:pPr>
            <w:r>
              <w:t>(</w:t>
            </w:r>
            <w:r>
              <w:rPr>
                <w:spacing w:val="-6"/>
              </w:rPr>
              <w:t xml:space="preserve"> </w:t>
            </w:r>
            <w:r>
              <w:t>)</w:t>
            </w:r>
            <w:r>
              <w:rPr>
                <w:spacing w:val="-6"/>
              </w:rPr>
              <w:t xml:space="preserve"> </w:t>
            </w:r>
            <w:r>
              <w:t>Instalação</w:t>
            </w:r>
            <w:r>
              <w:rPr>
                <w:spacing w:val="-5"/>
              </w:rPr>
              <w:t xml:space="preserve"> </w:t>
            </w:r>
            <w:r>
              <w:rPr>
                <w:spacing w:val="-2"/>
              </w:rPr>
              <w:t>lógica</w:t>
            </w:r>
          </w:p>
        </w:tc>
      </w:tr>
      <w:tr w:rsidR="00E07AFA" w14:paraId="39D74DF0" w14:textId="77777777" w:rsidTr="00E07AFA">
        <w:trPr>
          <w:trHeight w:val="480"/>
          <w:jc w:val="center"/>
        </w:trPr>
        <w:tc>
          <w:tcPr>
            <w:tcW w:w="3320" w:type="dxa"/>
          </w:tcPr>
          <w:p w14:paraId="3DA0714E" w14:textId="77777777" w:rsidR="00E07AFA" w:rsidRDefault="00E07AFA" w:rsidP="00F55694">
            <w:pPr>
              <w:pStyle w:val="TableParagraph"/>
              <w:spacing w:before="114"/>
            </w:pPr>
            <w:r>
              <w:t>(</w:t>
            </w:r>
            <w:r>
              <w:rPr>
                <w:spacing w:val="-4"/>
              </w:rPr>
              <w:t xml:space="preserve"> </w:t>
            </w:r>
            <w:r>
              <w:t>)</w:t>
            </w:r>
            <w:r>
              <w:rPr>
                <w:spacing w:val="-4"/>
              </w:rPr>
              <w:t xml:space="preserve"> </w:t>
            </w:r>
            <w:r>
              <w:t>Adaptação</w:t>
            </w:r>
            <w:r>
              <w:rPr>
                <w:spacing w:val="-4"/>
              </w:rPr>
              <w:t xml:space="preserve"> </w:t>
            </w:r>
            <w:r>
              <w:t>do</w:t>
            </w:r>
            <w:r>
              <w:rPr>
                <w:spacing w:val="-4"/>
              </w:rPr>
              <w:t xml:space="preserve"> </w:t>
            </w:r>
            <w:r>
              <w:rPr>
                <w:spacing w:val="-2"/>
              </w:rPr>
              <w:t>ambiente</w:t>
            </w:r>
          </w:p>
        </w:tc>
      </w:tr>
      <w:tr w:rsidR="00E07AFA" w14:paraId="63F6AFCE" w14:textId="77777777" w:rsidTr="00E07AFA">
        <w:trPr>
          <w:trHeight w:val="460"/>
          <w:jc w:val="center"/>
        </w:trPr>
        <w:tc>
          <w:tcPr>
            <w:tcW w:w="3320" w:type="dxa"/>
          </w:tcPr>
          <w:p w14:paraId="13D5C9BB" w14:textId="77777777" w:rsidR="00E07AFA" w:rsidRDefault="00E07AFA" w:rsidP="00F55694">
            <w:pPr>
              <w:pStyle w:val="TableParagraph"/>
              <w:spacing w:before="107"/>
            </w:pPr>
            <w:r>
              <w:t>(</w:t>
            </w:r>
            <w:r>
              <w:rPr>
                <w:spacing w:val="-4"/>
              </w:rPr>
              <w:t xml:space="preserve"> </w:t>
            </w:r>
            <w:r>
              <w:t>)</w:t>
            </w:r>
            <w:r>
              <w:rPr>
                <w:spacing w:val="-3"/>
              </w:rPr>
              <w:t xml:space="preserve"> </w:t>
            </w:r>
            <w:r>
              <w:t>Obtenção</w:t>
            </w:r>
            <w:r>
              <w:rPr>
                <w:spacing w:val="-4"/>
              </w:rPr>
              <w:t xml:space="preserve"> </w:t>
            </w:r>
            <w:r>
              <w:t>de</w:t>
            </w:r>
            <w:r>
              <w:rPr>
                <w:spacing w:val="-3"/>
              </w:rPr>
              <w:t xml:space="preserve"> </w:t>
            </w:r>
            <w:r>
              <w:rPr>
                <w:spacing w:val="-2"/>
              </w:rPr>
              <w:t>licença</w:t>
            </w:r>
          </w:p>
        </w:tc>
      </w:tr>
      <w:tr w:rsidR="00E07AFA" w14:paraId="30CE15DC" w14:textId="77777777" w:rsidTr="00E07AFA">
        <w:trPr>
          <w:trHeight w:val="480"/>
          <w:jc w:val="center"/>
        </w:trPr>
        <w:tc>
          <w:tcPr>
            <w:tcW w:w="3320" w:type="dxa"/>
          </w:tcPr>
          <w:p w14:paraId="09C364EE" w14:textId="77777777" w:rsidR="00E07AFA" w:rsidRDefault="00E07AFA" w:rsidP="00F55694">
            <w:pPr>
              <w:pStyle w:val="TableParagraph"/>
              <w:spacing w:before="121"/>
            </w:pPr>
            <w:r>
              <w:t>(</w:t>
            </w:r>
            <w:r>
              <w:rPr>
                <w:spacing w:val="-3"/>
              </w:rPr>
              <w:t xml:space="preserve"> </w:t>
            </w:r>
            <w:r>
              <w:t>)</w:t>
            </w:r>
            <w:r>
              <w:rPr>
                <w:spacing w:val="-1"/>
              </w:rPr>
              <w:t xml:space="preserve"> </w:t>
            </w:r>
            <w:r>
              <w:rPr>
                <w:spacing w:val="-2"/>
              </w:rPr>
              <w:t>Outro</w:t>
            </w:r>
          </w:p>
        </w:tc>
      </w:tr>
      <w:tr w:rsidR="00E07AFA" w14:paraId="7DF023A2" w14:textId="77777777" w:rsidTr="00E07AFA">
        <w:trPr>
          <w:trHeight w:val="480"/>
          <w:jc w:val="center"/>
        </w:trPr>
        <w:tc>
          <w:tcPr>
            <w:tcW w:w="3320" w:type="dxa"/>
          </w:tcPr>
          <w:p w14:paraId="6D29724F" w14:textId="77777777" w:rsidR="00E07AFA" w:rsidRPr="00E07AFA" w:rsidRDefault="00E07AFA" w:rsidP="00F55694">
            <w:pPr>
              <w:pStyle w:val="TableParagraph"/>
              <w:spacing w:before="114"/>
              <w:rPr>
                <w:b/>
                <w:bCs/>
              </w:rPr>
            </w:pPr>
            <w:r w:rsidRPr="00E07AFA">
              <w:rPr>
                <w:b/>
                <w:bCs/>
              </w:rPr>
              <w:t>(</w:t>
            </w:r>
            <w:r w:rsidRPr="00E07AFA">
              <w:rPr>
                <w:b/>
                <w:bCs/>
                <w:spacing w:val="-2"/>
              </w:rPr>
              <w:t xml:space="preserve"> </w:t>
            </w:r>
            <w:r w:rsidRPr="00E07AFA">
              <w:rPr>
                <w:b/>
                <w:bCs/>
              </w:rPr>
              <w:t>x)</w:t>
            </w:r>
            <w:r w:rsidRPr="00E07AFA">
              <w:rPr>
                <w:b/>
                <w:bCs/>
                <w:spacing w:val="-2"/>
              </w:rPr>
              <w:t xml:space="preserve"> </w:t>
            </w:r>
            <w:r w:rsidRPr="00E07AFA">
              <w:rPr>
                <w:b/>
                <w:bCs/>
              </w:rPr>
              <w:t>Não</w:t>
            </w:r>
            <w:r w:rsidRPr="00E07AFA">
              <w:rPr>
                <w:b/>
                <w:bCs/>
                <w:spacing w:val="-2"/>
              </w:rPr>
              <w:t xml:space="preserve"> </w:t>
            </w:r>
            <w:r w:rsidRPr="00E07AFA">
              <w:rPr>
                <w:b/>
                <w:bCs/>
              </w:rPr>
              <w:t>se</w:t>
            </w:r>
            <w:r w:rsidRPr="00E07AFA">
              <w:rPr>
                <w:b/>
                <w:bCs/>
                <w:spacing w:val="-2"/>
              </w:rPr>
              <w:t xml:space="preserve"> aplica</w:t>
            </w:r>
          </w:p>
        </w:tc>
      </w:tr>
    </w:tbl>
    <w:p w14:paraId="77E68FF2" w14:textId="46B6D2B3" w:rsidR="008D32E2" w:rsidRPr="00702CD9" w:rsidRDefault="008D32E2" w:rsidP="00E07AF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2C855E09" w14:textId="77777777" w:rsidR="00174E54"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06AFE799" w14:textId="77777777" w:rsidR="00B5728C" w:rsidRDefault="00B572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4B6FF2A2" w14:textId="77777777" w:rsidR="00DE0151" w:rsidRDefault="00DE0151"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39BB9408" w14:textId="77777777" w:rsidR="00B5728C" w:rsidRDefault="00B572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4271773B" w14:textId="77777777" w:rsidR="00B5728C" w:rsidRPr="00702CD9" w:rsidRDefault="00B572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FD7A15">
        <w:tc>
          <w:tcPr>
            <w:tcW w:w="8778" w:type="dxa"/>
            <w:shd w:val="clear" w:color="auto" w:fill="D0CECE" w:themeFill="background2" w:themeFillShade="E6"/>
          </w:tcPr>
          <w:p w14:paraId="3B5B4A9A" w14:textId="030B5FD1"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lastRenderedPageBreak/>
              <w:t>11-</w:t>
            </w:r>
            <w:r w:rsidRPr="00E07AFA">
              <w:rPr>
                <w:rFonts w:cs="Times New Roman"/>
                <w:b/>
                <w:bCs/>
              </w:rPr>
              <w:t>CONTRATAÇÕES CORRELATAS/INTERDEPENDENTES</w:t>
            </w:r>
            <w:r w:rsidRPr="00E07AFA">
              <w:rPr>
                <w:rFonts w:eastAsia="Times New Roman" w:cs="Times New Roman"/>
                <w:color w:val="000000"/>
                <w:kern w:val="0"/>
                <w:lang w:eastAsia="pt-BR" w:bidi="ar-SA"/>
              </w:rPr>
              <w:t xml:space="preserve"> </w:t>
            </w:r>
            <w:r w:rsidRPr="00E07AFA">
              <w:rPr>
                <w:rFonts w:cs="Times New Roman"/>
                <w:b/>
                <w:bCs/>
              </w:rPr>
              <w:t>(inciso XI do § 1° do art. 18 da Lei 14.133/21).</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0C790A9A" w14:textId="135EFD8C" w:rsidR="0085611C"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E07AFA">
        <w:rPr>
          <w:rFonts w:cs="Times New Roman"/>
          <w:color w:val="000000" w:themeColor="text1"/>
          <w:shd w:val="clear" w:color="auto" w:fill="FFFFFF"/>
        </w:rPr>
        <w:t xml:space="preserve">Não </w:t>
      </w:r>
      <w:r w:rsidR="000544EF">
        <w:rPr>
          <w:rFonts w:cs="Times New Roman"/>
          <w:color w:val="000000" w:themeColor="text1"/>
          <w:shd w:val="clear" w:color="auto" w:fill="FFFFFF"/>
        </w:rPr>
        <w:t>se</w:t>
      </w:r>
      <w:r w:rsidRPr="00E07AFA">
        <w:rPr>
          <w:rFonts w:cs="Times New Roman"/>
          <w:color w:val="000000" w:themeColor="text1"/>
          <w:shd w:val="clear" w:color="auto" w:fill="FFFFFF"/>
        </w:rPr>
        <w:t xml:space="preserve"> aplica</w:t>
      </w:r>
      <w:r w:rsidR="000544EF">
        <w:rPr>
          <w:rFonts w:cs="Times New Roman"/>
          <w:color w:val="000000" w:themeColor="text1"/>
          <w:shd w:val="clear" w:color="auto" w:fill="FFFFFF"/>
        </w:rPr>
        <w:t>.</w:t>
      </w:r>
    </w:p>
    <w:p w14:paraId="3A55AA8F" w14:textId="77777777" w:rsidR="003C50AB" w:rsidRPr="00E07AFA" w:rsidRDefault="003C50AB"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p>
    <w:p w14:paraId="0B2B502F" w14:textId="5CBC33A2"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FD7A15">
        <w:tc>
          <w:tcPr>
            <w:tcW w:w="8777" w:type="dxa"/>
            <w:shd w:val="clear" w:color="auto" w:fill="D0CECE" w:themeFill="background2" w:themeFillShade="E6"/>
          </w:tcPr>
          <w:p w14:paraId="28E2B963" w14:textId="7F2B525B"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Pr="000544EF">
              <w:rPr>
                <w:rFonts w:cs="Times New Roman"/>
                <w:b/>
                <w:bCs/>
              </w:rPr>
              <w:t>IMPACTOS AMBIENTAIS</w:t>
            </w:r>
            <w:r w:rsidRPr="000544EF">
              <w:rPr>
                <w:rFonts w:cs="Times New Roman"/>
              </w:rPr>
              <w:t xml:space="preserve"> </w:t>
            </w:r>
            <w:r w:rsidRPr="000544EF">
              <w:rPr>
                <w:rFonts w:cs="Times New Roman"/>
                <w:b/>
                <w:bCs/>
              </w:rPr>
              <w:t>(inciso XII do § 1° do art. 18 da Lei 14.133/21)</w:t>
            </w:r>
          </w:p>
        </w:tc>
      </w:tr>
    </w:tbl>
    <w:p w14:paraId="0A22C76A" w14:textId="77777777" w:rsidR="00413D36" w:rsidRDefault="00413D3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pPr>
    </w:p>
    <w:p w14:paraId="1DC57F89" w14:textId="77777777" w:rsidR="00DE0151" w:rsidRPr="00DE0151" w:rsidRDefault="00DE0151" w:rsidP="00DE0151">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DE0151">
        <w:rPr>
          <w:rFonts w:eastAsia="Times New Roman" w:cs="Times New Roman"/>
          <w:kern w:val="0"/>
          <w:lang w:eastAsia="pt-BR" w:bidi="ar-SA"/>
        </w:rPr>
        <w:t>A contratação de vale-alimentação para uma Prefeitura Municipal, embora traga benefícios sociais e econômicos, também pode gerar alguns impactos ambientais indiretos que merecem atenção. Embora não sejam tão diretos quanto a aquisição de equipamentos ou a execução de obras, é importante considerar esses aspectos para uma gestão pública mais sustentável.</w:t>
      </w:r>
    </w:p>
    <w:p w14:paraId="5F132FC3" w14:textId="34CA88B3" w:rsidR="00DE0151" w:rsidRPr="00DE0151" w:rsidRDefault="00DE0151" w:rsidP="00DE0151">
      <w:pPr>
        <w:widowControl/>
        <w:suppressAutoHyphens w:val="0"/>
        <w:autoSpaceDN/>
        <w:spacing w:before="100" w:beforeAutospacing="1" w:after="100" w:afterAutospacing="1"/>
        <w:ind w:left="1440"/>
        <w:jc w:val="both"/>
        <w:textAlignment w:val="auto"/>
        <w:rPr>
          <w:rFonts w:eastAsia="Times New Roman" w:cs="Times New Roman"/>
          <w:kern w:val="0"/>
          <w:lang w:eastAsia="pt-BR" w:bidi="ar-SA"/>
        </w:rPr>
      </w:pPr>
      <w:r>
        <w:rPr>
          <w:rFonts w:eastAsia="Times New Roman" w:cs="Times New Roman"/>
          <w:b/>
          <w:bCs/>
          <w:kern w:val="0"/>
          <w:lang w:eastAsia="pt-BR" w:bidi="ar-SA"/>
        </w:rPr>
        <w:t>1</w:t>
      </w:r>
      <w:r w:rsidRPr="00DE0151">
        <w:rPr>
          <w:rFonts w:eastAsia="Times New Roman" w:cs="Times New Roman"/>
          <w:b/>
          <w:bCs/>
          <w:kern w:val="0"/>
          <w:lang w:eastAsia="pt-BR" w:bidi="ar-SA"/>
        </w:rPr>
        <w:t>. Impactos relacionados ao consumo:</w:t>
      </w:r>
    </w:p>
    <w:p w14:paraId="7E1C3350" w14:textId="77777777" w:rsidR="00DE0151" w:rsidRPr="00DE0151" w:rsidRDefault="00DE0151" w:rsidP="00DE0151">
      <w:pPr>
        <w:widowControl/>
        <w:numPr>
          <w:ilvl w:val="0"/>
          <w:numId w:val="39"/>
        </w:numPr>
        <w:suppressAutoHyphens w:val="0"/>
        <w:autoSpaceDN/>
        <w:spacing w:before="100" w:beforeAutospacing="1" w:after="100" w:afterAutospacing="1"/>
        <w:jc w:val="both"/>
        <w:textAlignment w:val="auto"/>
        <w:rPr>
          <w:rFonts w:eastAsia="Times New Roman" w:cs="Times New Roman"/>
          <w:kern w:val="0"/>
          <w:lang w:eastAsia="pt-BR" w:bidi="ar-SA"/>
        </w:rPr>
      </w:pPr>
      <w:r w:rsidRPr="00DE0151">
        <w:rPr>
          <w:rFonts w:eastAsia="Times New Roman" w:cs="Times New Roman"/>
          <w:b/>
          <w:bCs/>
          <w:kern w:val="0"/>
          <w:lang w:eastAsia="pt-BR" w:bidi="ar-SA"/>
        </w:rPr>
        <w:t>Desperdício de alimentos:</w:t>
      </w:r>
      <w:r w:rsidRPr="00DE0151">
        <w:rPr>
          <w:rFonts w:eastAsia="Times New Roman" w:cs="Times New Roman"/>
          <w:kern w:val="0"/>
          <w:lang w:eastAsia="pt-BR" w:bidi="ar-SA"/>
        </w:rPr>
        <w:t xml:space="preserve"> O vale-alimentação pode levar ao aumento do consumo de alimentos, o que pode resultar em maior desperdício se não houver conscientização e planejamento adequados.</w:t>
      </w:r>
    </w:p>
    <w:p w14:paraId="1AE97E59" w14:textId="77777777" w:rsidR="00DE0151" w:rsidRPr="00DE0151" w:rsidRDefault="00DE0151" w:rsidP="00DE0151">
      <w:pPr>
        <w:widowControl/>
        <w:numPr>
          <w:ilvl w:val="0"/>
          <w:numId w:val="39"/>
        </w:numPr>
        <w:suppressAutoHyphens w:val="0"/>
        <w:autoSpaceDN/>
        <w:spacing w:before="100" w:beforeAutospacing="1" w:after="100" w:afterAutospacing="1"/>
        <w:jc w:val="both"/>
        <w:textAlignment w:val="auto"/>
        <w:rPr>
          <w:rFonts w:eastAsia="Times New Roman" w:cs="Times New Roman"/>
          <w:kern w:val="0"/>
          <w:lang w:eastAsia="pt-BR" w:bidi="ar-SA"/>
        </w:rPr>
      </w:pPr>
      <w:r w:rsidRPr="00DE0151">
        <w:rPr>
          <w:rFonts w:eastAsia="Times New Roman" w:cs="Times New Roman"/>
          <w:b/>
          <w:bCs/>
          <w:kern w:val="0"/>
          <w:lang w:eastAsia="pt-BR" w:bidi="ar-SA"/>
        </w:rPr>
        <w:t>Embalagens:</w:t>
      </w:r>
      <w:r w:rsidRPr="00DE0151">
        <w:rPr>
          <w:rFonts w:eastAsia="Times New Roman" w:cs="Times New Roman"/>
          <w:kern w:val="0"/>
          <w:lang w:eastAsia="pt-BR" w:bidi="ar-SA"/>
        </w:rPr>
        <w:t xml:space="preserve"> A utilização de embalagens descartáveis, como plásticos e isopor, para o transporte de alimentos, pode gerar poluição e contribuir para o acúmulo de resíduos.</w:t>
      </w:r>
    </w:p>
    <w:p w14:paraId="0AA0E098" w14:textId="77777777" w:rsidR="00DE0151" w:rsidRDefault="00DE0151" w:rsidP="00DE0151">
      <w:pPr>
        <w:widowControl/>
        <w:numPr>
          <w:ilvl w:val="0"/>
          <w:numId w:val="39"/>
        </w:numPr>
        <w:suppressAutoHyphens w:val="0"/>
        <w:autoSpaceDN/>
        <w:spacing w:before="100" w:beforeAutospacing="1" w:after="100" w:afterAutospacing="1"/>
        <w:jc w:val="both"/>
        <w:textAlignment w:val="auto"/>
        <w:rPr>
          <w:rFonts w:eastAsia="Times New Roman" w:cs="Times New Roman"/>
          <w:kern w:val="0"/>
          <w:lang w:eastAsia="pt-BR" w:bidi="ar-SA"/>
        </w:rPr>
      </w:pPr>
      <w:r w:rsidRPr="00DE0151">
        <w:rPr>
          <w:rFonts w:eastAsia="Times New Roman" w:cs="Times New Roman"/>
          <w:b/>
          <w:bCs/>
          <w:kern w:val="0"/>
          <w:lang w:eastAsia="pt-BR" w:bidi="ar-SA"/>
        </w:rPr>
        <w:t>Impacto no comércio local:</w:t>
      </w:r>
      <w:r w:rsidRPr="00DE0151">
        <w:rPr>
          <w:rFonts w:eastAsia="Times New Roman" w:cs="Times New Roman"/>
          <w:kern w:val="0"/>
          <w:lang w:eastAsia="pt-BR" w:bidi="ar-SA"/>
        </w:rPr>
        <w:t xml:space="preserve"> A forma como o vale alimentação é utilizado pode impactar o comércio local, e dependendo dos locais de compra, pode aumentar a necessidade de transporte de produtos.</w:t>
      </w:r>
    </w:p>
    <w:p w14:paraId="112CBFD3" w14:textId="6E5597C0" w:rsidR="00851819" w:rsidRPr="009B22AE" w:rsidRDefault="00851819" w:rsidP="003C50AB">
      <w:pPr>
        <w:widowControl/>
        <w:suppressAutoHyphens w:val="0"/>
        <w:autoSpaceDN/>
        <w:spacing w:before="100" w:beforeAutospacing="1" w:after="100" w:afterAutospacing="1"/>
        <w:ind w:left="1440"/>
        <w:textAlignment w:val="auto"/>
        <w:rPr>
          <w:rFonts w:eastAsia="Times New Roman" w:cs="Times New Roman"/>
          <w:kern w:val="0"/>
          <w:lang w:eastAsia="pt-BR" w:bidi="ar-SA"/>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FE02C79"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13 – VIABILIDADE DA CONTRATAÇÃO</w:t>
            </w:r>
          </w:p>
          <w:p w14:paraId="101105E6"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(inciso XIII do § 1° do art. 18 da Lei 14.133/21)</w:t>
            </w:r>
          </w:p>
          <w:p w14:paraId="3310D522" w14:textId="7C8A4759" w:rsidR="008A09EF" w:rsidRPr="00702CD9" w:rsidRDefault="008A09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551A619F" w14:textId="77777777" w:rsidR="00963D81" w:rsidRPr="00702CD9" w:rsidRDefault="00963D81">
      <w:pPr>
        <w:pStyle w:val="Standard"/>
        <w:jc w:val="both"/>
        <w:rPr>
          <w:rFonts w:cs="Times New Roman"/>
          <w:color w:val="FF3333"/>
        </w:rPr>
      </w:pPr>
    </w:p>
    <w:p w14:paraId="6898B2C8" w14:textId="1C9C47E8" w:rsidR="00C04CFA" w:rsidRPr="003C50AB" w:rsidRDefault="000544EF" w:rsidP="00C04CFA">
      <w:pPr>
        <w:jc w:val="both"/>
        <w:rPr>
          <w:b/>
          <w:i/>
          <w:color w:val="000000"/>
          <w:u w:val="single"/>
          <w:lang w:eastAsia="pt-BR"/>
        </w:rPr>
      </w:pPr>
      <w:r w:rsidRPr="000544EF">
        <w:rPr>
          <w:rFonts w:cs="Times New Roman"/>
          <w:color w:val="000000" w:themeColor="text1"/>
        </w:rPr>
        <w:t xml:space="preserve">Com base na justificativa e nas especificações técnicas constantes neste Estudo Técnico Preliminar e seus anexos, e na existência de planejamento orçamentário para subsidiar esta contratação, declaramos que a melhor alternativa para solucionar a demanda é </w:t>
      </w:r>
      <w:r w:rsidR="00851E5D">
        <w:rPr>
          <w:rFonts w:cs="Times New Roman"/>
          <w:color w:val="000000" w:themeColor="text1"/>
        </w:rPr>
        <w:t>a</w:t>
      </w:r>
      <w:r w:rsidR="009B22AE">
        <w:rPr>
          <w:rFonts w:cs="Times New Roman"/>
          <w:color w:val="000000" w:themeColor="text1"/>
          <w:lang w:eastAsia="zh-CN"/>
        </w:rPr>
        <w:t xml:space="preserve"> </w:t>
      </w:r>
      <w:r w:rsidR="003C50AB" w:rsidRPr="003C50AB">
        <w:rPr>
          <w:b/>
          <w:bCs/>
          <w:i/>
          <w:color w:val="000000"/>
          <w:u w:val="single"/>
          <w:lang w:eastAsia="pt-BR"/>
        </w:rPr>
        <w:t xml:space="preserve">CREDENCIAMENTO de empresas para prestação de serviço especializado de fornecimento e administração de cartão-alimentação, na forma de cartão </w:t>
      </w:r>
      <w:r w:rsidR="003C50AB" w:rsidRPr="003C50AB">
        <w:rPr>
          <w:b/>
          <w:bCs/>
          <w:i/>
          <w:color w:val="000000"/>
          <w:u w:val="single"/>
          <w:lang w:eastAsia="pt-BR"/>
        </w:rPr>
        <w:lastRenderedPageBreak/>
        <w:t>magnético/eletrônicos, personalizado e com senha individual, para os servidores da Prefeitura Municipal de Inúbia Paulista, para aquisição de gêneros alimentícios, em estabelecimentos comerciais credenciados, nos termos do art. 79, inciso II, da Lei 14.133/2021, e demais legislações aplicáveis</w:t>
      </w:r>
      <w:r w:rsidRPr="000544EF">
        <w:rPr>
          <w:rFonts w:cs="Times New Roman"/>
          <w:color w:val="000000" w:themeColor="text1"/>
        </w:rPr>
        <w:t>, atendendo aos padrões e preços de mercado</w:t>
      </w:r>
      <w:r w:rsidRPr="00E65AD2">
        <w:rPr>
          <w:rFonts w:cs="Times New Roman"/>
          <w:color w:val="000000" w:themeColor="text1"/>
        </w:rPr>
        <w:t>.</w:t>
      </w:r>
    </w:p>
    <w:p w14:paraId="0B258C9A" w14:textId="0D5FEDCB" w:rsidR="002B0B05" w:rsidRDefault="002B0B05" w:rsidP="00714EEE">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0A906497" w14:textId="77777777" w:rsidR="00BB0256" w:rsidRDefault="00BB0256" w:rsidP="00714EEE">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37A7CA65" w14:textId="77777777" w:rsidR="00BB0256" w:rsidRPr="00702CD9" w:rsidRDefault="00BB0256" w:rsidP="00714EEE">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774E382B" w14:textId="4F3BCD95"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color w:val="000000"/>
              </w:rPr>
            </w:pPr>
            <w:r w:rsidRPr="00702CD9">
              <w:rPr>
                <w:rFonts w:cs="Times New Roman"/>
                <w:b/>
                <w:bCs/>
                <w:color w:val="000000"/>
              </w:rPr>
              <w:t>INTEGRANTE REQUISITANTE</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8369BD0" w14:textId="443BBD06" w:rsidR="00E65AD2" w:rsidRDefault="00E65AD2" w:rsidP="00C04CFA">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2C7CD5B4"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34232145" w14:textId="77777777" w:rsidR="00BB0256" w:rsidRDefault="00BB0256" w:rsidP="00E65AD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BB0256">
              <w:rPr>
                <w:rFonts w:cs="Times New Roman"/>
                <w:b/>
                <w:bCs/>
                <w:iCs/>
                <w:color w:val="000000" w:themeColor="text1"/>
              </w:rPr>
              <w:t xml:space="preserve">MARCELO CAMILO COSTA </w:t>
            </w:r>
          </w:p>
          <w:p w14:paraId="167CA747" w14:textId="014AF845" w:rsidR="00E65AD2" w:rsidRPr="00E65AD2" w:rsidRDefault="00E65AD2" w:rsidP="00E65AD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
                <w:iCs/>
                <w:color w:val="000000" w:themeColor="text1"/>
              </w:rPr>
            </w:pPr>
            <w:r w:rsidRPr="00E65AD2">
              <w:rPr>
                <w:rFonts w:cs="Times New Roman"/>
                <w:b/>
                <w:bCs/>
                <w:iCs/>
                <w:color w:val="000000" w:themeColor="text1"/>
              </w:rPr>
              <w:t>Responsável pela Elaboração do ETP</w:t>
            </w:r>
          </w:p>
          <w:p w14:paraId="674B9189"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6EA31918" w:rsidR="00E65AD2" w:rsidRPr="00446EEE" w:rsidRDefault="00E65AD2" w:rsidP="00C04CFA">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 xml:space="preserve">Inúbia Paulista, </w:t>
            </w:r>
            <w:r w:rsidR="00BB0256">
              <w:rPr>
                <w:rFonts w:cs="Times New Roman"/>
                <w:color w:val="000000" w:themeColor="text1"/>
              </w:rPr>
              <w:t>01 abril</w:t>
            </w:r>
            <w:r w:rsidRPr="00E65AD2">
              <w:rPr>
                <w:rFonts w:cs="Times New Roman"/>
                <w:color w:val="000000" w:themeColor="text1"/>
              </w:rPr>
              <w:t xml:space="preserve"> de 2025</w:t>
            </w:r>
          </w:p>
        </w:tc>
      </w:tr>
    </w:tbl>
    <w:p w14:paraId="209F10D0" w14:textId="77777777" w:rsidR="008A09EF" w:rsidRPr="00702CD9" w:rsidRDefault="008A09EF">
      <w:pPr>
        <w:pStyle w:val="Standard"/>
        <w:rPr>
          <w:rFonts w:cs="Times New Roman"/>
        </w:rPr>
      </w:pPr>
    </w:p>
    <w:sectPr w:rsidR="008A09EF" w:rsidRPr="00702CD9" w:rsidSect="00702CD9">
      <w:headerReference w:type="default" r:id="rId11"/>
      <w:footerReference w:type="default" r:id="rId12"/>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0AF8" w14:textId="77777777" w:rsidR="006844E1" w:rsidRDefault="006844E1">
      <w:r>
        <w:separator/>
      </w:r>
    </w:p>
  </w:endnote>
  <w:endnote w:type="continuationSeparator" w:id="0">
    <w:p w14:paraId="5EA76D1A" w14:textId="77777777" w:rsidR="006844E1" w:rsidRDefault="006844E1">
      <w:r>
        <w:continuationSeparator/>
      </w:r>
    </w:p>
  </w:endnote>
  <w:endnote w:type="continuationNotice" w:id="1">
    <w:p w14:paraId="2DF0291F" w14:textId="77777777" w:rsidR="006844E1" w:rsidRDefault="00684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5B12B847"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4D7A3E">
      <w:rPr>
        <w:noProof/>
        <w:shd w:val="clear" w:color="auto" w:fill="FFFFFF"/>
      </w:rPr>
      <w:t>8</w:t>
    </w:r>
    <w:r>
      <w:rPr>
        <w:shd w:val="clear" w:color="auto" w:fill="FFFFFF"/>
      </w:rPr>
      <w:fldChar w:fldCharType="end"/>
    </w:r>
  </w:p>
  <w:p w14:paraId="74E45401" w14:textId="77777777" w:rsidR="00D901A8" w:rsidRDefault="00D901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2ADD" w14:textId="77777777" w:rsidR="006844E1" w:rsidRDefault="006844E1">
      <w:r>
        <w:rPr>
          <w:color w:val="000000"/>
        </w:rPr>
        <w:separator/>
      </w:r>
    </w:p>
  </w:footnote>
  <w:footnote w:type="continuationSeparator" w:id="0">
    <w:p w14:paraId="2ECA48A5" w14:textId="77777777" w:rsidR="006844E1" w:rsidRDefault="006844E1">
      <w:r>
        <w:continuationSeparator/>
      </w:r>
    </w:p>
  </w:footnote>
  <w:footnote w:type="continuationNotice" w:id="1">
    <w:p w14:paraId="57DCF67B" w14:textId="77777777" w:rsidR="006844E1" w:rsidRDefault="00684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D901A8" w:rsidRDefault="00D901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27CA6"/>
    <w:multiLevelType w:val="multilevel"/>
    <w:tmpl w:val="747E9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063180"/>
    <w:multiLevelType w:val="multilevel"/>
    <w:tmpl w:val="55D2E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40D19"/>
    <w:multiLevelType w:val="hybridMultilevel"/>
    <w:tmpl w:val="8E909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EF2B04"/>
    <w:multiLevelType w:val="multilevel"/>
    <w:tmpl w:val="D30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A3D17"/>
    <w:multiLevelType w:val="multilevel"/>
    <w:tmpl w:val="C12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8" w15:restartNumberingAfterBreak="0">
    <w:nsid w:val="1AC418EF"/>
    <w:multiLevelType w:val="multilevel"/>
    <w:tmpl w:val="69FC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D42F9"/>
    <w:multiLevelType w:val="multilevel"/>
    <w:tmpl w:val="3A6C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D5AF1"/>
    <w:multiLevelType w:val="multilevel"/>
    <w:tmpl w:val="568C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84E80"/>
    <w:multiLevelType w:val="hybridMultilevel"/>
    <w:tmpl w:val="31E0C8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EFB02D5"/>
    <w:multiLevelType w:val="multilevel"/>
    <w:tmpl w:val="A3C08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81175"/>
    <w:multiLevelType w:val="multilevel"/>
    <w:tmpl w:val="C294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15:restartNumberingAfterBreak="0">
    <w:nsid w:val="36837A4D"/>
    <w:multiLevelType w:val="multilevel"/>
    <w:tmpl w:val="4EAC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7" w15:restartNumberingAfterBreak="0">
    <w:nsid w:val="3A593221"/>
    <w:multiLevelType w:val="multilevel"/>
    <w:tmpl w:val="B9C2C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A23C5"/>
    <w:multiLevelType w:val="multilevel"/>
    <w:tmpl w:val="FD007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02DE9"/>
    <w:multiLevelType w:val="multilevel"/>
    <w:tmpl w:val="02D6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C0F59"/>
    <w:multiLevelType w:val="multilevel"/>
    <w:tmpl w:val="DD9A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C6B5B"/>
    <w:multiLevelType w:val="multilevel"/>
    <w:tmpl w:val="B69E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000BF"/>
    <w:multiLevelType w:val="multilevel"/>
    <w:tmpl w:val="9A4C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CC5429"/>
    <w:multiLevelType w:val="multilevel"/>
    <w:tmpl w:val="D97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424EC"/>
    <w:multiLevelType w:val="multilevel"/>
    <w:tmpl w:val="4D6A6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22B9C"/>
    <w:multiLevelType w:val="multilevel"/>
    <w:tmpl w:val="526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84607"/>
    <w:multiLevelType w:val="hybridMultilevel"/>
    <w:tmpl w:val="0C3A7A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EF2AFF"/>
    <w:multiLevelType w:val="multilevel"/>
    <w:tmpl w:val="7640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73E08"/>
    <w:multiLevelType w:val="multilevel"/>
    <w:tmpl w:val="080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378A0"/>
    <w:multiLevelType w:val="multilevel"/>
    <w:tmpl w:val="EBF6E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753A9"/>
    <w:multiLevelType w:val="hybridMultilevel"/>
    <w:tmpl w:val="D8ACC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83222F6"/>
    <w:multiLevelType w:val="multilevel"/>
    <w:tmpl w:val="F2D8F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F68"/>
    <w:multiLevelType w:val="multilevel"/>
    <w:tmpl w:val="7C3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C312A"/>
    <w:multiLevelType w:val="multilevel"/>
    <w:tmpl w:val="CE9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F3F55"/>
    <w:multiLevelType w:val="multilevel"/>
    <w:tmpl w:val="CF50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86519"/>
    <w:multiLevelType w:val="multilevel"/>
    <w:tmpl w:val="5F326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330B8"/>
    <w:multiLevelType w:val="multilevel"/>
    <w:tmpl w:val="9D3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4923A6"/>
    <w:multiLevelType w:val="hybridMultilevel"/>
    <w:tmpl w:val="96F247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203B90"/>
    <w:multiLevelType w:val="multilevel"/>
    <w:tmpl w:val="A3905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521033">
    <w:abstractNumId w:val="14"/>
  </w:num>
  <w:num w:numId="2" w16cid:durableId="780805700">
    <w:abstractNumId w:val="0"/>
  </w:num>
  <w:num w:numId="3" w16cid:durableId="1763797882">
    <w:abstractNumId w:val="27"/>
  </w:num>
  <w:num w:numId="4" w16cid:durableId="1419864317">
    <w:abstractNumId w:val="16"/>
  </w:num>
  <w:num w:numId="5" w16cid:durableId="805195166">
    <w:abstractNumId w:val="2"/>
  </w:num>
  <w:num w:numId="6" w16cid:durableId="638075338">
    <w:abstractNumId w:val="7"/>
  </w:num>
  <w:num w:numId="7" w16cid:durableId="1757051765">
    <w:abstractNumId w:val="33"/>
  </w:num>
  <w:num w:numId="8" w16cid:durableId="384644911">
    <w:abstractNumId w:val="8"/>
  </w:num>
  <w:num w:numId="9" w16cid:durableId="1566456902">
    <w:abstractNumId w:val="29"/>
  </w:num>
  <w:num w:numId="10" w16cid:durableId="1951623584">
    <w:abstractNumId w:val="15"/>
  </w:num>
  <w:num w:numId="11" w16cid:durableId="1367877693">
    <w:abstractNumId w:val="5"/>
  </w:num>
  <w:num w:numId="12" w16cid:durableId="497234871">
    <w:abstractNumId w:val="22"/>
  </w:num>
  <w:num w:numId="13" w16cid:durableId="695539911">
    <w:abstractNumId w:val="20"/>
  </w:num>
  <w:num w:numId="14" w16cid:durableId="1782335174">
    <w:abstractNumId w:val="31"/>
  </w:num>
  <w:num w:numId="15" w16cid:durableId="1086849872">
    <w:abstractNumId w:val="4"/>
  </w:num>
  <w:num w:numId="16" w16cid:durableId="1406613099">
    <w:abstractNumId w:val="11"/>
  </w:num>
  <w:num w:numId="17" w16cid:durableId="934019636">
    <w:abstractNumId w:val="12"/>
  </w:num>
  <w:num w:numId="18" w16cid:durableId="907962390">
    <w:abstractNumId w:val="17"/>
  </w:num>
  <w:num w:numId="19" w16cid:durableId="1107886661">
    <w:abstractNumId w:val="24"/>
  </w:num>
  <w:num w:numId="20" w16cid:durableId="941884698">
    <w:abstractNumId w:val="28"/>
  </w:num>
  <w:num w:numId="21" w16cid:durableId="683089631">
    <w:abstractNumId w:val="36"/>
  </w:num>
  <w:num w:numId="22" w16cid:durableId="276452372">
    <w:abstractNumId w:val="30"/>
  </w:num>
  <w:num w:numId="23" w16cid:durableId="1067067711">
    <w:abstractNumId w:val="13"/>
  </w:num>
  <w:num w:numId="24" w16cid:durableId="1234317674">
    <w:abstractNumId w:val="25"/>
  </w:num>
  <w:num w:numId="25" w16cid:durableId="1343894810">
    <w:abstractNumId w:val="19"/>
  </w:num>
  <w:num w:numId="26" w16cid:durableId="1554465453">
    <w:abstractNumId w:val="23"/>
  </w:num>
  <w:num w:numId="27" w16cid:durableId="2033190178">
    <w:abstractNumId w:val="39"/>
  </w:num>
  <w:num w:numId="28" w16cid:durableId="1376780344">
    <w:abstractNumId w:val="9"/>
  </w:num>
  <w:num w:numId="29" w16cid:durableId="289089400">
    <w:abstractNumId w:val="10"/>
  </w:num>
  <w:num w:numId="30" w16cid:durableId="507599814">
    <w:abstractNumId w:val="38"/>
  </w:num>
  <w:num w:numId="31" w16cid:durableId="1686403945">
    <w:abstractNumId w:val="26"/>
  </w:num>
  <w:num w:numId="32" w16cid:durableId="1290630110">
    <w:abstractNumId w:val="6"/>
  </w:num>
  <w:num w:numId="33" w16cid:durableId="1241057673">
    <w:abstractNumId w:val="32"/>
  </w:num>
  <w:num w:numId="34" w16cid:durableId="887373809">
    <w:abstractNumId w:val="3"/>
  </w:num>
  <w:num w:numId="35" w16cid:durableId="1745567262">
    <w:abstractNumId w:val="1"/>
  </w:num>
  <w:num w:numId="36" w16cid:durableId="42410394">
    <w:abstractNumId w:val="21"/>
  </w:num>
  <w:num w:numId="37" w16cid:durableId="1755124683">
    <w:abstractNumId w:val="18"/>
  </w:num>
  <w:num w:numId="38" w16cid:durableId="503739645">
    <w:abstractNumId w:val="37"/>
  </w:num>
  <w:num w:numId="39" w16cid:durableId="389690680">
    <w:abstractNumId w:val="35"/>
  </w:num>
  <w:num w:numId="40" w16cid:durableId="17794503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18A7"/>
    <w:rsid w:val="000254FD"/>
    <w:rsid w:val="00027794"/>
    <w:rsid w:val="0003083B"/>
    <w:rsid w:val="00030AA0"/>
    <w:rsid w:val="00035C6C"/>
    <w:rsid w:val="00035D1F"/>
    <w:rsid w:val="00036943"/>
    <w:rsid w:val="00047D4F"/>
    <w:rsid w:val="00050474"/>
    <w:rsid w:val="000544EF"/>
    <w:rsid w:val="00060DF1"/>
    <w:rsid w:val="00061805"/>
    <w:rsid w:val="0006207A"/>
    <w:rsid w:val="00063665"/>
    <w:rsid w:val="0006532B"/>
    <w:rsid w:val="00070F8D"/>
    <w:rsid w:val="00071890"/>
    <w:rsid w:val="00080777"/>
    <w:rsid w:val="00082192"/>
    <w:rsid w:val="00087207"/>
    <w:rsid w:val="00094A69"/>
    <w:rsid w:val="00094D1D"/>
    <w:rsid w:val="00096072"/>
    <w:rsid w:val="00096E3E"/>
    <w:rsid w:val="000B1945"/>
    <w:rsid w:val="000B2D2C"/>
    <w:rsid w:val="000B35DC"/>
    <w:rsid w:val="000B385C"/>
    <w:rsid w:val="000B38E6"/>
    <w:rsid w:val="000B3CAA"/>
    <w:rsid w:val="000B3E13"/>
    <w:rsid w:val="000B40BA"/>
    <w:rsid w:val="000B659F"/>
    <w:rsid w:val="000C0B16"/>
    <w:rsid w:val="000C4653"/>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2F7"/>
    <w:rsid w:val="00116D3A"/>
    <w:rsid w:val="0011759D"/>
    <w:rsid w:val="0012142F"/>
    <w:rsid w:val="00123701"/>
    <w:rsid w:val="00123CEB"/>
    <w:rsid w:val="00131918"/>
    <w:rsid w:val="00133135"/>
    <w:rsid w:val="001354F9"/>
    <w:rsid w:val="00136FB1"/>
    <w:rsid w:val="001373A3"/>
    <w:rsid w:val="00137ED5"/>
    <w:rsid w:val="00140979"/>
    <w:rsid w:val="001421CB"/>
    <w:rsid w:val="001525DA"/>
    <w:rsid w:val="00152D02"/>
    <w:rsid w:val="001539C0"/>
    <w:rsid w:val="001607D1"/>
    <w:rsid w:val="00160F32"/>
    <w:rsid w:val="001619A5"/>
    <w:rsid w:val="00165222"/>
    <w:rsid w:val="00174E54"/>
    <w:rsid w:val="00184183"/>
    <w:rsid w:val="00185DA5"/>
    <w:rsid w:val="00192251"/>
    <w:rsid w:val="00193F32"/>
    <w:rsid w:val="00194590"/>
    <w:rsid w:val="00195697"/>
    <w:rsid w:val="001A275A"/>
    <w:rsid w:val="001A5538"/>
    <w:rsid w:val="001A5805"/>
    <w:rsid w:val="001A6869"/>
    <w:rsid w:val="001A6B07"/>
    <w:rsid w:val="001A6C1F"/>
    <w:rsid w:val="001B02F5"/>
    <w:rsid w:val="001B2A7B"/>
    <w:rsid w:val="001B5F01"/>
    <w:rsid w:val="001B6165"/>
    <w:rsid w:val="001B629B"/>
    <w:rsid w:val="001B7447"/>
    <w:rsid w:val="001C0588"/>
    <w:rsid w:val="001D0C7C"/>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333F"/>
    <w:rsid w:val="0021466C"/>
    <w:rsid w:val="002146A6"/>
    <w:rsid w:val="00227E9F"/>
    <w:rsid w:val="00230E2D"/>
    <w:rsid w:val="002321A2"/>
    <w:rsid w:val="00232F2C"/>
    <w:rsid w:val="002336A4"/>
    <w:rsid w:val="00234B77"/>
    <w:rsid w:val="0024231C"/>
    <w:rsid w:val="00250568"/>
    <w:rsid w:val="00250B60"/>
    <w:rsid w:val="00250BCC"/>
    <w:rsid w:val="00250E01"/>
    <w:rsid w:val="00255536"/>
    <w:rsid w:val="0025692D"/>
    <w:rsid w:val="002570F4"/>
    <w:rsid w:val="00261375"/>
    <w:rsid w:val="0026197A"/>
    <w:rsid w:val="00263860"/>
    <w:rsid w:val="002704B7"/>
    <w:rsid w:val="00275FE8"/>
    <w:rsid w:val="00281F01"/>
    <w:rsid w:val="00284CD1"/>
    <w:rsid w:val="00286275"/>
    <w:rsid w:val="00286613"/>
    <w:rsid w:val="002868E2"/>
    <w:rsid w:val="0029347E"/>
    <w:rsid w:val="00294AD0"/>
    <w:rsid w:val="002967F4"/>
    <w:rsid w:val="002A18E3"/>
    <w:rsid w:val="002A2877"/>
    <w:rsid w:val="002A374E"/>
    <w:rsid w:val="002B0B05"/>
    <w:rsid w:val="002B3446"/>
    <w:rsid w:val="002B6F91"/>
    <w:rsid w:val="002B7273"/>
    <w:rsid w:val="002C2DE2"/>
    <w:rsid w:val="002D615F"/>
    <w:rsid w:val="002D663C"/>
    <w:rsid w:val="002D73F9"/>
    <w:rsid w:val="002F022B"/>
    <w:rsid w:val="002F19B5"/>
    <w:rsid w:val="002F1F17"/>
    <w:rsid w:val="002F3FE6"/>
    <w:rsid w:val="003009DF"/>
    <w:rsid w:val="00302828"/>
    <w:rsid w:val="00303406"/>
    <w:rsid w:val="00303A97"/>
    <w:rsid w:val="003040F6"/>
    <w:rsid w:val="00304111"/>
    <w:rsid w:val="0030688F"/>
    <w:rsid w:val="00312D0D"/>
    <w:rsid w:val="003139F9"/>
    <w:rsid w:val="00322F22"/>
    <w:rsid w:val="00324387"/>
    <w:rsid w:val="003269A4"/>
    <w:rsid w:val="00337E64"/>
    <w:rsid w:val="00340E52"/>
    <w:rsid w:val="00342C3C"/>
    <w:rsid w:val="003441F9"/>
    <w:rsid w:val="003445D6"/>
    <w:rsid w:val="00345798"/>
    <w:rsid w:val="003475FF"/>
    <w:rsid w:val="003479B7"/>
    <w:rsid w:val="00353235"/>
    <w:rsid w:val="0035564E"/>
    <w:rsid w:val="00357345"/>
    <w:rsid w:val="00357E6A"/>
    <w:rsid w:val="003612F4"/>
    <w:rsid w:val="0037002E"/>
    <w:rsid w:val="00372DD7"/>
    <w:rsid w:val="003749E4"/>
    <w:rsid w:val="00374CD1"/>
    <w:rsid w:val="003755F2"/>
    <w:rsid w:val="00384EFE"/>
    <w:rsid w:val="00385569"/>
    <w:rsid w:val="003A2321"/>
    <w:rsid w:val="003A2B83"/>
    <w:rsid w:val="003A334A"/>
    <w:rsid w:val="003A4756"/>
    <w:rsid w:val="003A542B"/>
    <w:rsid w:val="003B4253"/>
    <w:rsid w:val="003B6A58"/>
    <w:rsid w:val="003B7BA0"/>
    <w:rsid w:val="003C3610"/>
    <w:rsid w:val="003C50AB"/>
    <w:rsid w:val="003C6E3A"/>
    <w:rsid w:val="003C77F5"/>
    <w:rsid w:val="003D079D"/>
    <w:rsid w:val="003D320D"/>
    <w:rsid w:val="003D5AD2"/>
    <w:rsid w:val="003E4D1E"/>
    <w:rsid w:val="003E5F07"/>
    <w:rsid w:val="003E73D3"/>
    <w:rsid w:val="003F1804"/>
    <w:rsid w:val="003F502C"/>
    <w:rsid w:val="0040016D"/>
    <w:rsid w:val="00402901"/>
    <w:rsid w:val="00403BE6"/>
    <w:rsid w:val="0040434B"/>
    <w:rsid w:val="00406DBA"/>
    <w:rsid w:val="0040701D"/>
    <w:rsid w:val="004124A6"/>
    <w:rsid w:val="00412791"/>
    <w:rsid w:val="00413639"/>
    <w:rsid w:val="00413D36"/>
    <w:rsid w:val="004146C7"/>
    <w:rsid w:val="00414B84"/>
    <w:rsid w:val="00415945"/>
    <w:rsid w:val="004162D2"/>
    <w:rsid w:val="00420E27"/>
    <w:rsid w:val="00422687"/>
    <w:rsid w:val="00422CF8"/>
    <w:rsid w:val="0042465B"/>
    <w:rsid w:val="00424C1A"/>
    <w:rsid w:val="00426FA1"/>
    <w:rsid w:val="00427288"/>
    <w:rsid w:val="0043066F"/>
    <w:rsid w:val="00430F1B"/>
    <w:rsid w:val="00432BB9"/>
    <w:rsid w:val="00437A2D"/>
    <w:rsid w:val="004405CA"/>
    <w:rsid w:val="00441392"/>
    <w:rsid w:val="00442C96"/>
    <w:rsid w:val="00445E30"/>
    <w:rsid w:val="00446EEE"/>
    <w:rsid w:val="00451282"/>
    <w:rsid w:val="0045157B"/>
    <w:rsid w:val="00454757"/>
    <w:rsid w:val="00454A62"/>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7DD1"/>
    <w:rsid w:val="004B0FBB"/>
    <w:rsid w:val="004B1B3A"/>
    <w:rsid w:val="004B2F0E"/>
    <w:rsid w:val="004B4356"/>
    <w:rsid w:val="004B698D"/>
    <w:rsid w:val="004C3601"/>
    <w:rsid w:val="004D10A4"/>
    <w:rsid w:val="004D3939"/>
    <w:rsid w:val="004D76EC"/>
    <w:rsid w:val="004D7A3E"/>
    <w:rsid w:val="004E5C7E"/>
    <w:rsid w:val="004E70D1"/>
    <w:rsid w:val="004F32F9"/>
    <w:rsid w:val="004F5B55"/>
    <w:rsid w:val="004F6AD8"/>
    <w:rsid w:val="00503D60"/>
    <w:rsid w:val="00505DFF"/>
    <w:rsid w:val="005061E1"/>
    <w:rsid w:val="005073C4"/>
    <w:rsid w:val="0051046E"/>
    <w:rsid w:val="005115F1"/>
    <w:rsid w:val="00514642"/>
    <w:rsid w:val="00515B8B"/>
    <w:rsid w:val="00515ED6"/>
    <w:rsid w:val="005201A1"/>
    <w:rsid w:val="00523A24"/>
    <w:rsid w:val="005248B4"/>
    <w:rsid w:val="005313A6"/>
    <w:rsid w:val="00532FC2"/>
    <w:rsid w:val="00536F2A"/>
    <w:rsid w:val="00543FD6"/>
    <w:rsid w:val="00544A09"/>
    <w:rsid w:val="00545DD4"/>
    <w:rsid w:val="00546648"/>
    <w:rsid w:val="00547F62"/>
    <w:rsid w:val="00550640"/>
    <w:rsid w:val="005533B6"/>
    <w:rsid w:val="00553E1C"/>
    <w:rsid w:val="0056104E"/>
    <w:rsid w:val="005628F6"/>
    <w:rsid w:val="0056458B"/>
    <w:rsid w:val="0056641D"/>
    <w:rsid w:val="00574583"/>
    <w:rsid w:val="00575D84"/>
    <w:rsid w:val="00576A4E"/>
    <w:rsid w:val="00577623"/>
    <w:rsid w:val="005822C7"/>
    <w:rsid w:val="00583087"/>
    <w:rsid w:val="00590642"/>
    <w:rsid w:val="00590B64"/>
    <w:rsid w:val="00590C8B"/>
    <w:rsid w:val="00591F2C"/>
    <w:rsid w:val="005A00A0"/>
    <w:rsid w:val="005A011F"/>
    <w:rsid w:val="005A1010"/>
    <w:rsid w:val="005A2BD3"/>
    <w:rsid w:val="005A3C49"/>
    <w:rsid w:val="005A6242"/>
    <w:rsid w:val="005B1214"/>
    <w:rsid w:val="005B359B"/>
    <w:rsid w:val="005B3A04"/>
    <w:rsid w:val="005B5335"/>
    <w:rsid w:val="005C2780"/>
    <w:rsid w:val="005C31A9"/>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5783"/>
    <w:rsid w:val="00636064"/>
    <w:rsid w:val="00636200"/>
    <w:rsid w:val="0064286C"/>
    <w:rsid w:val="00645293"/>
    <w:rsid w:val="00645777"/>
    <w:rsid w:val="00647062"/>
    <w:rsid w:val="006473A5"/>
    <w:rsid w:val="006514CA"/>
    <w:rsid w:val="00651DEC"/>
    <w:rsid w:val="00673299"/>
    <w:rsid w:val="00675DCE"/>
    <w:rsid w:val="00682E7A"/>
    <w:rsid w:val="0068337F"/>
    <w:rsid w:val="00683610"/>
    <w:rsid w:val="006844E1"/>
    <w:rsid w:val="006854B9"/>
    <w:rsid w:val="00686190"/>
    <w:rsid w:val="00686612"/>
    <w:rsid w:val="006A6150"/>
    <w:rsid w:val="006B32D4"/>
    <w:rsid w:val="006B3CE8"/>
    <w:rsid w:val="006B798F"/>
    <w:rsid w:val="006C0AA5"/>
    <w:rsid w:val="006D2B09"/>
    <w:rsid w:val="006D5BF5"/>
    <w:rsid w:val="006D677A"/>
    <w:rsid w:val="006D7C7F"/>
    <w:rsid w:val="006E32A0"/>
    <w:rsid w:val="006F2277"/>
    <w:rsid w:val="006F282A"/>
    <w:rsid w:val="006F4E49"/>
    <w:rsid w:val="006F4E9C"/>
    <w:rsid w:val="00700D9E"/>
    <w:rsid w:val="0070180D"/>
    <w:rsid w:val="00702CD9"/>
    <w:rsid w:val="00703F9C"/>
    <w:rsid w:val="00706183"/>
    <w:rsid w:val="00706245"/>
    <w:rsid w:val="0071205A"/>
    <w:rsid w:val="00713BDE"/>
    <w:rsid w:val="00714EEE"/>
    <w:rsid w:val="00716B1F"/>
    <w:rsid w:val="00716BA4"/>
    <w:rsid w:val="007177E4"/>
    <w:rsid w:val="00720FE3"/>
    <w:rsid w:val="00730917"/>
    <w:rsid w:val="00730B90"/>
    <w:rsid w:val="00733984"/>
    <w:rsid w:val="00734877"/>
    <w:rsid w:val="00736891"/>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36C0"/>
    <w:rsid w:val="007878D0"/>
    <w:rsid w:val="007916DD"/>
    <w:rsid w:val="00791AC6"/>
    <w:rsid w:val="00792FAD"/>
    <w:rsid w:val="00793DCB"/>
    <w:rsid w:val="007A1121"/>
    <w:rsid w:val="007A13D1"/>
    <w:rsid w:val="007A143D"/>
    <w:rsid w:val="007A2607"/>
    <w:rsid w:val="007A430E"/>
    <w:rsid w:val="007A726F"/>
    <w:rsid w:val="007B3E76"/>
    <w:rsid w:val="007B581E"/>
    <w:rsid w:val="007B58EF"/>
    <w:rsid w:val="007B6455"/>
    <w:rsid w:val="007B7E11"/>
    <w:rsid w:val="007C0AC5"/>
    <w:rsid w:val="007C243D"/>
    <w:rsid w:val="007C7E11"/>
    <w:rsid w:val="007D0A3D"/>
    <w:rsid w:val="007D176D"/>
    <w:rsid w:val="007D2607"/>
    <w:rsid w:val="007D2996"/>
    <w:rsid w:val="007D3795"/>
    <w:rsid w:val="007D65B4"/>
    <w:rsid w:val="007E0772"/>
    <w:rsid w:val="007E15D0"/>
    <w:rsid w:val="007E2ADC"/>
    <w:rsid w:val="007E4F88"/>
    <w:rsid w:val="007E6E7A"/>
    <w:rsid w:val="007E791E"/>
    <w:rsid w:val="007F14C9"/>
    <w:rsid w:val="007F5BEC"/>
    <w:rsid w:val="007F62FB"/>
    <w:rsid w:val="007F6480"/>
    <w:rsid w:val="008011A7"/>
    <w:rsid w:val="00801D41"/>
    <w:rsid w:val="00806090"/>
    <w:rsid w:val="0080730B"/>
    <w:rsid w:val="00813BF4"/>
    <w:rsid w:val="00814FB8"/>
    <w:rsid w:val="00815D06"/>
    <w:rsid w:val="008204F1"/>
    <w:rsid w:val="00824C8A"/>
    <w:rsid w:val="00826220"/>
    <w:rsid w:val="00826D6F"/>
    <w:rsid w:val="00830586"/>
    <w:rsid w:val="008349BF"/>
    <w:rsid w:val="00843A33"/>
    <w:rsid w:val="00844CFC"/>
    <w:rsid w:val="00844FEC"/>
    <w:rsid w:val="00845537"/>
    <w:rsid w:val="00851819"/>
    <w:rsid w:val="00851E5D"/>
    <w:rsid w:val="0085368E"/>
    <w:rsid w:val="00853C5A"/>
    <w:rsid w:val="008544A2"/>
    <w:rsid w:val="0085611C"/>
    <w:rsid w:val="0085776D"/>
    <w:rsid w:val="0086126D"/>
    <w:rsid w:val="00865A86"/>
    <w:rsid w:val="008676D1"/>
    <w:rsid w:val="00870DF9"/>
    <w:rsid w:val="00873E64"/>
    <w:rsid w:val="008744BC"/>
    <w:rsid w:val="00874574"/>
    <w:rsid w:val="00883513"/>
    <w:rsid w:val="008866CD"/>
    <w:rsid w:val="00887AE6"/>
    <w:rsid w:val="00887DEC"/>
    <w:rsid w:val="00890277"/>
    <w:rsid w:val="00891842"/>
    <w:rsid w:val="00892446"/>
    <w:rsid w:val="00892B38"/>
    <w:rsid w:val="00893671"/>
    <w:rsid w:val="00894410"/>
    <w:rsid w:val="008A0154"/>
    <w:rsid w:val="008A09EF"/>
    <w:rsid w:val="008A59AC"/>
    <w:rsid w:val="008A77E9"/>
    <w:rsid w:val="008B139E"/>
    <w:rsid w:val="008B4768"/>
    <w:rsid w:val="008B59DD"/>
    <w:rsid w:val="008B601A"/>
    <w:rsid w:val="008B7496"/>
    <w:rsid w:val="008C0A94"/>
    <w:rsid w:val="008C1B92"/>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9027A4"/>
    <w:rsid w:val="00903359"/>
    <w:rsid w:val="00905762"/>
    <w:rsid w:val="00910BD7"/>
    <w:rsid w:val="00913F47"/>
    <w:rsid w:val="0091697E"/>
    <w:rsid w:val="009235AC"/>
    <w:rsid w:val="00923ED9"/>
    <w:rsid w:val="00925D70"/>
    <w:rsid w:val="009271F4"/>
    <w:rsid w:val="0093017A"/>
    <w:rsid w:val="00933EF3"/>
    <w:rsid w:val="00935C63"/>
    <w:rsid w:val="00936D1F"/>
    <w:rsid w:val="009519BC"/>
    <w:rsid w:val="00952ED6"/>
    <w:rsid w:val="00953CDA"/>
    <w:rsid w:val="00954B9B"/>
    <w:rsid w:val="00955659"/>
    <w:rsid w:val="009577BC"/>
    <w:rsid w:val="009610F3"/>
    <w:rsid w:val="0096181C"/>
    <w:rsid w:val="00963D81"/>
    <w:rsid w:val="009655E9"/>
    <w:rsid w:val="009663C9"/>
    <w:rsid w:val="00966BE0"/>
    <w:rsid w:val="009672BE"/>
    <w:rsid w:val="00967F5C"/>
    <w:rsid w:val="00975D29"/>
    <w:rsid w:val="009819C6"/>
    <w:rsid w:val="00985923"/>
    <w:rsid w:val="00993CA0"/>
    <w:rsid w:val="00994269"/>
    <w:rsid w:val="00994600"/>
    <w:rsid w:val="0099601B"/>
    <w:rsid w:val="009A037D"/>
    <w:rsid w:val="009B08A4"/>
    <w:rsid w:val="009B22AE"/>
    <w:rsid w:val="009B4833"/>
    <w:rsid w:val="009B4AFA"/>
    <w:rsid w:val="009B7F96"/>
    <w:rsid w:val="009C2E9A"/>
    <w:rsid w:val="009C35D8"/>
    <w:rsid w:val="009C63C9"/>
    <w:rsid w:val="009D0B2F"/>
    <w:rsid w:val="009D2241"/>
    <w:rsid w:val="009D4995"/>
    <w:rsid w:val="009D770F"/>
    <w:rsid w:val="009D7730"/>
    <w:rsid w:val="009E390F"/>
    <w:rsid w:val="009E4BB6"/>
    <w:rsid w:val="009F0B02"/>
    <w:rsid w:val="009F22CD"/>
    <w:rsid w:val="009F39F9"/>
    <w:rsid w:val="009F58C0"/>
    <w:rsid w:val="009F7EC0"/>
    <w:rsid w:val="00A049EE"/>
    <w:rsid w:val="00A111E0"/>
    <w:rsid w:val="00A11EED"/>
    <w:rsid w:val="00A12FB7"/>
    <w:rsid w:val="00A24039"/>
    <w:rsid w:val="00A25E06"/>
    <w:rsid w:val="00A26EE4"/>
    <w:rsid w:val="00A27DE7"/>
    <w:rsid w:val="00A3002E"/>
    <w:rsid w:val="00A313C4"/>
    <w:rsid w:val="00A356FD"/>
    <w:rsid w:val="00A36728"/>
    <w:rsid w:val="00A3755B"/>
    <w:rsid w:val="00A44E0B"/>
    <w:rsid w:val="00A4501D"/>
    <w:rsid w:val="00A4661A"/>
    <w:rsid w:val="00A468EB"/>
    <w:rsid w:val="00A474D8"/>
    <w:rsid w:val="00A52917"/>
    <w:rsid w:val="00A57DDF"/>
    <w:rsid w:val="00A617BE"/>
    <w:rsid w:val="00A637C1"/>
    <w:rsid w:val="00A64CB5"/>
    <w:rsid w:val="00A64DBE"/>
    <w:rsid w:val="00A67724"/>
    <w:rsid w:val="00A76BAD"/>
    <w:rsid w:val="00A83C02"/>
    <w:rsid w:val="00A90FAD"/>
    <w:rsid w:val="00A93CCC"/>
    <w:rsid w:val="00A93EB5"/>
    <w:rsid w:val="00A95A6F"/>
    <w:rsid w:val="00A96B5F"/>
    <w:rsid w:val="00A97188"/>
    <w:rsid w:val="00AA125C"/>
    <w:rsid w:val="00AA29C7"/>
    <w:rsid w:val="00AA4F19"/>
    <w:rsid w:val="00AA5FDF"/>
    <w:rsid w:val="00AA78E6"/>
    <w:rsid w:val="00AA7BA1"/>
    <w:rsid w:val="00AB0D8C"/>
    <w:rsid w:val="00AB1210"/>
    <w:rsid w:val="00AB2561"/>
    <w:rsid w:val="00AB5323"/>
    <w:rsid w:val="00AC062B"/>
    <w:rsid w:val="00AC2F5C"/>
    <w:rsid w:val="00AC497D"/>
    <w:rsid w:val="00AC5D07"/>
    <w:rsid w:val="00AC7513"/>
    <w:rsid w:val="00AC7D27"/>
    <w:rsid w:val="00AE4226"/>
    <w:rsid w:val="00AF3EB5"/>
    <w:rsid w:val="00AF53E3"/>
    <w:rsid w:val="00AF55E9"/>
    <w:rsid w:val="00AF5AE3"/>
    <w:rsid w:val="00B006C0"/>
    <w:rsid w:val="00B03349"/>
    <w:rsid w:val="00B042DC"/>
    <w:rsid w:val="00B07AFA"/>
    <w:rsid w:val="00B101C5"/>
    <w:rsid w:val="00B1043F"/>
    <w:rsid w:val="00B136A9"/>
    <w:rsid w:val="00B217FD"/>
    <w:rsid w:val="00B26438"/>
    <w:rsid w:val="00B30A70"/>
    <w:rsid w:val="00B30E19"/>
    <w:rsid w:val="00B31315"/>
    <w:rsid w:val="00B31D95"/>
    <w:rsid w:val="00B3547E"/>
    <w:rsid w:val="00B359DE"/>
    <w:rsid w:val="00B35FDE"/>
    <w:rsid w:val="00B36D7E"/>
    <w:rsid w:val="00B377A6"/>
    <w:rsid w:val="00B4214B"/>
    <w:rsid w:val="00B42E1B"/>
    <w:rsid w:val="00B43435"/>
    <w:rsid w:val="00B504F1"/>
    <w:rsid w:val="00B51954"/>
    <w:rsid w:val="00B54F4B"/>
    <w:rsid w:val="00B5578F"/>
    <w:rsid w:val="00B5728C"/>
    <w:rsid w:val="00B5EE1A"/>
    <w:rsid w:val="00B600D8"/>
    <w:rsid w:val="00B63653"/>
    <w:rsid w:val="00B65E8E"/>
    <w:rsid w:val="00B66DBB"/>
    <w:rsid w:val="00B70101"/>
    <w:rsid w:val="00B7131E"/>
    <w:rsid w:val="00B74F50"/>
    <w:rsid w:val="00B7599C"/>
    <w:rsid w:val="00B76719"/>
    <w:rsid w:val="00B77C66"/>
    <w:rsid w:val="00B81214"/>
    <w:rsid w:val="00B83F05"/>
    <w:rsid w:val="00B84FF6"/>
    <w:rsid w:val="00B855C4"/>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0256"/>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F124D"/>
    <w:rsid w:val="00BF7060"/>
    <w:rsid w:val="00BF7AEB"/>
    <w:rsid w:val="00C00044"/>
    <w:rsid w:val="00C00CD3"/>
    <w:rsid w:val="00C04CFA"/>
    <w:rsid w:val="00C066BC"/>
    <w:rsid w:val="00C07BFB"/>
    <w:rsid w:val="00C1028B"/>
    <w:rsid w:val="00C12E85"/>
    <w:rsid w:val="00C20D3F"/>
    <w:rsid w:val="00C20F0D"/>
    <w:rsid w:val="00C22DA4"/>
    <w:rsid w:val="00C24455"/>
    <w:rsid w:val="00C24B85"/>
    <w:rsid w:val="00C255F5"/>
    <w:rsid w:val="00C34C16"/>
    <w:rsid w:val="00C34C8F"/>
    <w:rsid w:val="00C35519"/>
    <w:rsid w:val="00C43273"/>
    <w:rsid w:val="00C43D7E"/>
    <w:rsid w:val="00C4621A"/>
    <w:rsid w:val="00C46B61"/>
    <w:rsid w:val="00C50777"/>
    <w:rsid w:val="00C551B0"/>
    <w:rsid w:val="00C5723F"/>
    <w:rsid w:val="00C614D2"/>
    <w:rsid w:val="00C61B11"/>
    <w:rsid w:val="00C64C82"/>
    <w:rsid w:val="00C679B8"/>
    <w:rsid w:val="00C7021A"/>
    <w:rsid w:val="00C70979"/>
    <w:rsid w:val="00C747FC"/>
    <w:rsid w:val="00C75D54"/>
    <w:rsid w:val="00C84507"/>
    <w:rsid w:val="00C85D0C"/>
    <w:rsid w:val="00C91265"/>
    <w:rsid w:val="00C97FB4"/>
    <w:rsid w:val="00CA1CDA"/>
    <w:rsid w:val="00CA211F"/>
    <w:rsid w:val="00CA423C"/>
    <w:rsid w:val="00CA5B33"/>
    <w:rsid w:val="00CB2EFF"/>
    <w:rsid w:val="00CB3496"/>
    <w:rsid w:val="00CC01A5"/>
    <w:rsid w:val="00CC35B5"/>
    <w:rsid w:val="00CC75FC"/>
    <w:rsid w:val="00CC76BD"/>
    <w:rsid w:val="00CC7976"/>
    <w:rsid w:val="00CD2462"/>
    <w:rsid w:val="00CE1C1A"/>
    <w:rsid w:val="00CE2F77"/>
    <w:rsid w:val="00CE3208"/>
    <w:rsid w:val="00CE5D21"/>
    <w:rsid w:val="00CF0F5E"/>
    <w:rsid w:val="00D01C27"/>
    <w:rsid w:val="00D02F3A"/>
    <w:rsid w:val="00D03091"/>
    <w:rsid w:val="00D03250"/>
    <w:rsid w:val="00D06D9C"/>
    <w:rsid w:val="00D10CD4"/>
    <w:rsid w:val="00D11B9E"/>
    <w:rsid w:val="00D167A2"/>
    <w:rsid w:val="00D16978"/>
    <w:rsid w:val="00D23DFD"/>
    <w:rsid w:val="00D25110"/>
    <w:rsid w:val="00D253B5"/>
    <w:rsid w:val="00D27B11"/>
    <w:rsid w:val="00D32F1F"/>
    <w:rsid w:val="00D33077"/>
    <w:rsid w:val="00D37B94"/>
    <w:rsid w:val="00D45FCC"/>
    <w:rsid w:val="00D472B8"/>
    <w:rsid w:val="00D47C67"/>
    <w:rsid w:val="00D53D9A"/>
    <w:rsid w:val="00D55510"/>
    <w:rsid w:val="00D646CB"/>
    <w:rsid w:val="00D649EE"/>
    <w:rsid w:val="00D7265C"/>
    <w:rsid w:val="00D73407"/>
    <w:rsid w:val="00D738D6"/>
    <w:rsid w:val="00D776AD"/>
    <w:rsid w:val="00D83E5F"/>
    <w:rsid w:val="00D84742"/>
    <w:rsid w:val="00D901A8"/>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7A95"/>
    <w:rsid w:val="00DE0151"/>
    <w:rsid w:val="00DE61AE"/>
    <w:rsid w:val="00DE6DBF"/>
    <w:rsid w:val="00DF3144"/>
    <w:rsid w:val="00DF6333"/>
    <w:rsid w:val="00E01A2D"/>
    <w:rsid w:val="00E01E14"/>
    <w:rsid w:val="00E0462A"/>
    <w:rsid w:val="00E04BBB"/>
    <w:rsid w:val="00E051F2"/>
    <w:rsid w:val="00E052DA"/>
    <w:rsid w:val="00E06A72"/>
    <w:rsid w:val="00E07AFA"/>
    <w:rsid w:val="00E14789"/>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50B5"/>
    <w:rsid w:val="00E61243"/>
    <w:rsid w:val="00E62CBF"/>
    <w:rsid w:val="00E65AD2"/>
    <w:rsid w:val="00E6758A"/>
    <w:rsid w:val="00E73C68"/>
    <w:rsid w:val="00E81AA7"/>
    <w:rsid w:val="00E84619"/>
    <w:rsid w:val="00E906A0"/>
    <w:rsid w:val="00E90810"/>
    <w:rsid w:val="00E912A2"/>
    <w:rsid w:val="00E92016"/>
    <w:rsid w:val="00E926EE"/>
    <w:rsid w:val="00E92CF2"/>
    <w:rsid w:val="00E92EB0"/>
    <w:rsid w:val="00E936A2"/>
    <w:rsid w:val="00E94D20"/>
    <w:rsid w:val="00E95813"/>
    <w:rsid w:val="00E976CC"/>
    <w:rsid w:val="00EA2450"/>
    <w:rsid w:val="00EA6850"/>
    <w:rsid w:val="00EA7AEA"/>
    <w:rsid w:val="00EC3408"/>
    <w:rsid w:val="00ED1AED"/>
    <w:rsid w:val="00ED4C54"/>
    <w:rsid w:val="00ED5612"/>
    <w:rsid w:val="00ED5B2F"/>
    <w:rsid w:val="00EE04A7"/>
    <w:rsid w:val="00EE0DA6"/>
    <w:rsid w:val="00EE195C"/>
    <w:rsid w:val="00EE2505"/>
    <w:rsid w:val="00EE47B4"/>
    <w:rsid w:val="00EE6A6F"/>
    <w:rsid w:val="00EE6B1C"/>
    <w:rsid w:val="00EF0A85"/>
    <w:rsid w:val="00EF27D4"/>
    <w:rsid w:val="00EF4F94"/>
    <w:rsid w:val="00F035EC"/>
    <w:rsid w:val="00F06331"/>
    <w:rsid w:val="00F127AA"/>
    <w:rsid w:val="00F143E0"/>
    <w:rsid w:val="00F2136C"/>
    <w:rsid w:val="00F222DC"/>
    <w:rsid w:val="00F227DE"/>
    <w:rsid w:val="00F2771D"/>
    <w:rsid w:val="00F3438A"/>
    <w:rsid w:val="00F3460D"/>
    <w:rsid w:val="00F35781"/>
    <w:rsid w:val="00F35D9D"/>
    <w:rsid w:val="00F366C2"/>
    <w:rsid w:val="00F368FD"/>
    <w:rsid w:val="00F4125C"/>
    <w:rsid w:val="00F42075"/>
    <w:rsid w:val="00F43FAF"/>
    <w:rsid w:val="00F60A7B"/>
    <w:rsid w:val="00F622E6"/>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2A08"/>
    <w:rsid w:val="00FD3923"/>
    <w:rsid w:val="00FD6EBA"/>
    <w:rsid w:val="00FD6FDC"/>
    <w:rsid w:val="00FD7774"/>
    <w:rsid w:val="00FD7A15"/>
    <w:rsid w:val="00FE00B3"/>
    <w:rsid w:val="00FE00DE"/>
    <w:rsid w:val="00FE1194"/>
    <w:rsid w:val="00FE2E1E"/>
    <w:rsid w:val="00FE3CBF"/>
    <w:rsid w:val="00FE5064"/>
    <w:rsid w:val="00FE5383"/>
    <w:rsid w:val="00FF3299"/>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0AB"/>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character" w:customStyle="1" w:styleId="paraphrase">
    <w:name w:val="paraphrase"/>
    <w:basedOn w:val="Fontepargpadro"/>
    <w:rsid w:val="00304111"/>
  </w:style>
  <w:style w:type="character" w:customStyle="1" w:styleId="added">
    <w:name w:val="added"/>
    <w:basedOn w:val="Fontepargpadro"/>
    <w:rsid w:val="00304111"/>
  </w:style>
  <w:style w:type="character" w:styleId="Forte">
    <w:name w:val="Strong"/>
    <w:basedOn w:val="Fontepargpadro"/>
    <w:uiPriority w:val="22"/>
    <w:qFormat/>
    <w:rsid w:val="00851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1606947">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95906957">
      <w:bodyDiv w:val="1"/>
      <w:marLeft w:val="0"/>
      <w:marRight w:val="0"/>
      <w:marTop w:val="0"/>
      <w:marBottom w:val="0"/>
      <w:divBdr>
        <w:top w:val="none" w:sz="0" w:space="0" w:color="auto"/>
        <w:left w:val="none" w:sz="0" w:space="0" w:color="auto"/>
        <w:bottom w:val="none" w:sz="0" w:space="0" w:color="auto"/>
        <w:right w:val="none" w:sz="0" w:space="0" w:color="auto"/>
      </w:divBdr>
    </w:div>
    <w:div w:id="10095165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346831575">
      <w:bodyDiv w:val="1"/>
      <w:marLeft w:val="0"/>
      <w:marRight w:val="0"/>
      <w:marTop w:val="0"/>
      <w:marBottom w:val="0"/>
      <w:divBdr>
        <w:top w:val="none" w:sz="0" w:space="0" w:color="auto"/>
        <w:left w:val="none" w:sz="0" w:space="0" w:color="auto"/>
        <w:bottom w:val="none" w:sz="0" w:space="0" w:color="auto"/>
        <w:right w:val="none" w:sz="0" w:space="0" w:color="auto"/>
      </w:divBdr>
    </w:div>
    <w:div w:id="37724148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972831042">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039889762">
      <w:bodyDiv w:val="1"/>
      <w:marLeft w:val="0"/>
      <w:marRight w:val="0"/>
      <w:marTop w:val="0"/>
      <w:marBottom w:val="0"/>
      <w:divBdr>
        <w:top w:val="none" w:sz="0" w:space="0" w:color="auto"/>
        <w:left w:val="none" w:sz="0" w:space="0" w:color="auto"/>
        <w:bottom w:val="none" w:sz="0" w:space="0" w:color="auto"/>
        <w:right w:val="none" w:sz="0" w:space="0" w:color="auto"/>
      </w:divBdr>
    </w:div>
    <w:div w:id="1120807589">
      <w:bodyDiv w:val="1"/>
      <w:marLeft w:val="0"/>
      <w:marRight w:val="0"/>
      <w:marTop w:val="0"/>
      <w:marBottom w:val="0"/>
      <w:divBdr>
        <w:top w:val="none" w:sz="0" w:space="0" w:color="auto"/>
        <w:left w:val="none" w:sz="0" w:space="0" w:color="auto"/>
        <w:bottom w:val="none" w:sz="0" w:space="0" w:color="auto"/>
        <w:right w:val="none" w:sz="0" w:space="0" w:color="auto"/>
      </w:divBdr>
    </w:div>
    <w:div w:id="1138256217">
      <w:bodyDiv w:val="1"/>
      <w:marLeft w:val="0"/>
      <w:marRight w:val="0"/>
      <w:marTop w:val="0"/>
      <w:marBottom w:val="0"/>
      <w:divBdr>
        <w:top w:val="none" w:sz="0" w:space="0" w:color="auto"/>
        <w:left w:val="none" w:sz="0" w:space="0" w:color="auto"/>
        <w:bottom w:val="none" w:sz="0" w:space="0" w:color="auto"/>
        <w:right w:val="none" w:sz="0" w:space="0" w:color="auto"/>
      </w:divBdr>
    </w:div>
    <w:div w:id="1311136160">
      <w:bodyDiv w:val="1"/>
      <w:marLeft w:val="0"/>
      <w:marRight w:val="0"/>
      <w:marTop w:val="0"/>
      <w:marBottom w:val="0"/>
      <w:divBdr>
        <w:top w:val="none" w:sz="0" w:space="0" w:color="auto"/>
        <w:left w:val="none" w:sz="0" w:space="0" w:color="auto"/>
        <w:bottom w:val="none" w:sz="0" w:space="0" w:color="auto"/>
        <w:right w:val="none" w:sz="0" w:space="0" w:color="auto"/>
      </w:divBdr>
    </w:div>
    <w:div w:id="1343706532">
      <w:bodyDiv w:val="1"/>
      <w:marLeft w:val="0"/>
      <w:marRight w:val="0"/>
      <w:marTop w:val="0"/>
      <w:marBottom w:val="0"/>
      <w:divBdr>
        <w:top w:val="none" w:sz="0" w:space="0" w:color="auto"/>
        <w:left w:val="none" w:sz="0" w:space="0" w:color="auto"/>
        <w:bottom w:val="none" w:sz="0" w:space="0" w:color="auto"/>
        <w:right w:val="none" w:sz="0" w:space="0" w:color="auto"/>
      </w:divBdr>
    </w:div>
    <w:div w:id="1358195155">
      <w:bodyDiv w:val="1"/>
      <w:marLeft w:val="0"/>
      <w:marRight w:val="0"/>
      <w:marTop w:val="0"/>
      <w:marBottom w:val="0"/>
      <w:divBdr>
        <w:top w:val="none" w:sz="0" w:space="0" w:color="auto"/>
        <w:left w:val="none" w:sz="0" w:space="0" w:color="auto"/>
        <w:bottom w:val="none" w:sz="0" w:space="0" w:color="auto"/>
        <w:right w:val="none" w:sz="0" w:space="0" w:color="auto"/>
      </w:divBdr>
    </w:div>
    <w:div w:id="1364093592">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398555227">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550216370">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61419413">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19707240">
      <w:bodyDiv w:val="1"/>
      <w:marLeft w:val="0"/>
      <w:marRight w:val="0"/>
      <w:marTop w:val="0"/>
      <w:marBottom w:val="0"/>
      <w:divBdr>
        <w:top w:val="none" w:sz="0" w:space="0" w:color="auto"/>
        <w:left w:val="none" w:sz="0" w:space="0" w:color="auto"/>
        <w:bottom w:val="none" w:sz="0" w:space="0" w:color="auto"/>
        <w:right w:val="none" w:sz="0" w:space="0" w:color="auto"/>
      </w:divBdr>
    </w:div>
    <w:div w:id="2022582137">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ncp.gov.br/app/pca/44919611000103/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2172</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Licitaçao Inubia Paulista</cp:lastModifiedBy>
  <cp:revision>56</cp:revision>
  <dcterms:created xsi:type="dcterms:W3CDTF">2025-02-07T21:02:00Z</dcterms:created>
  <dcterms:modified xsi:type="dcterms:W3CDTF">2025-04-10T13:53:00Z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